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B352" w14:textId="77777777" w:rsidR="001C7C9C" w:rsidRDefault="001C7C9C" w:rsidP="001C7C9C">
      <w:pPr>
        <w:pStyle w:val="Header"/>
        <w:tabs>
          <w:tab w:val="clear" w:pos="2880"/>
          <w:tab w:val="clear" w:pos="4153"/>
          <w:tab w:val="clear" w:pos="8306"/>
          <w:tab w:val="left" w:pos="1848"/>
        </w:tabs>
        <w:rPr>
          <w:rFonts w:cs="Arial"/>
          <w:sz w:val="32"/>
          <w:szCs w:val="32"/>
        </w:rPr>
      </w:pPr>
      <w:bookmarkStart w:id="0" w:name="_Hlk191560547"/>
      <w:bookmarkStart w:id="1" w:name="_Toc44738651"/>
      <w:r>
        <w:rPr>
          <w:rFonts w:cs="Arial"/>
          <w:noProof/>
          <w:lang w:eastAsia="en-AU"/>
        </w:rPr>
        <w:drawing>
          <wp:anchor distT="0" distB="0" distL="114300" distR="114300" simplePos="0" relativeHeight="251659264" behindDoc="0" locked="0" layoutInCell="1" allowOverlap="1" wp14:anchorId="616F241C" wp14:editId="7FC92ADF">
            <wp:simplePos x="0" y="0"/>
            <wp:positionH relativeFrom="column">
              <wp:posOffset>0</wp:posOffset>
            </wp:positionH>
            <wp:positionV relativeFrom="paragraph">
              <wp:posOffset>-320040</wp:posOffset>
            </wp:positionV>
            <wp:extent cx="925200" cy="925200"/>
            <wp:effectExtent l="0" t="0" r="8255" b="8255"/>
            <wp:wrapNone/>
            <wp:docPr id="1" name="Picture 1" descr="Description: ACTGov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TGov_inline_black"/>
                    <pic:cNvPicPr>
                      <a:picLocks noChangeAspect="1" noChangeArrowheads="1"/>
                    </pic:cNvPicPr>
                  </pic:nvPicPr>
                  <pic:blipFill rotWithShape="1">
                    <a:blip r:embed="rId9">
                      <a:extLst>
                        <a:ext uri="{28A0092B-C50C-407E-A947-70E740481C1C}">
                          <a14:useLocalDpi xmlns:a14="http://schemas.microsoft.com/office/drawing/2010/main" val="0"/>
                        </a:ext>
                      </a:extLst>
                    </a:blip>
                    <a:srcRect r="48808"/>
                    <a:stretch/>
                  </pic:blipFill>
                  <pic:spPr bwMode="auto">
                    <a:xfrm>
                      <a:off x="0" y="0"/>
                      <a:ext cx="9252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63274">
        <w:rPr>
          <w:rFonts w:cs="Arial"/>
          <w:sz w:val="32"/>
          <w:szCs w:val="32"/>
        </w:rPr>
        <w:t>Australian Capital Territory Remuneration Tribunal</w:t>
      </w:r>
    </w:p>
    <w:bookmarkEnd w:id="0"/>
    <w:p w14:paraId="4CD4B1A6" w14:textId="77777777" w:rsidR="001C7C9C" w:rsidRDefault="001C7C9C" w:rsidP="009E4C67">
      <w:pPr>
        <w:pStyle w:val="Heading1"/>
        <w:keepLines/>
        <w:pageBreakBefore w:val="0"/>
        <w:pBdr>
          <w:bottom w:val="none" w:sz="0" w:space="0" w:color="auto"/>
        </w:pBdr>
        <w:spacing w:before="240"/>
        <w:rPr>
          <w:color w:val="000000" w:themeColor="text1"/>
        </w:rPr>
      </w:pPr>
    </w:p>
    <w:p w14:paraId="2CF9B364" w14:textId="244B2EE2" w:rsidR="009E4C67" w:rsidRPr="00403DB9" w:rsidRDefault="009E4C67" w:rsidP="009E4C67">
      <w:pPr>
        <w:pStyle w:val="Heading1"/>
        <w:keepLines/>
        <w:pageBreakBefore w:val="0"/>
        <w:pBdr>
          <w:bottom w:val="none" w:sz="0" w:space="0" w:color="auto"/>
        </w:pBdr>
        <w:spacing w:before="240"/>
        <w:rPr>
          <w:color w:val="000000" w:themeColor="text1"/>
        </w:rPr>
      </w:pPr>
      <w:r w:rsidRPr="00403DB9">
        <w:rPr>
          <w:color w:val="000000" w:themeColor="text1"/>
        </w:rPr>
        <w:t xml:space="preserve">Determination </w:t>
      </w:r>
      <w:r w:rsidR="00FC2703">
        <w:rPr>
          <w:color w:val="000000" w:themeColor="text1"/>
        </w:rPr>
        <w:t>4</w:t>
      </w:r>
      <w:r w:rsidR="009E65ED">
        <w:rPr>
          <w:color w:val="FF0000"/>
        </w:rPr>
        <w:t xml:space="preserve"> </w:t>
      </w:r>
      <w:r w:rsidR="00DC6C6D" w:rsidRPr="00403DB9">
        <w:rPr>
          <w:color w:val="000000" w:themeColor="text1"/>
        </w:rPr>
        <w:t xml:space="preserve">of </w:t>
      </w:r>
      <w:r w:rsidR="00440A32">
        <w:rPr>
          <w:color w:val="000000" w:themeColor="text1"/>
        </w:rPr>
        <w:t>202</w:t>
      </w:r>
      <w:r w:rsidR="0085002F">
        <w:rPr>
          <w:color w:val="000000" w:themeColor="text1"/>
        </w:rPr>
        <w:t>5</w:t>
      </w:r>
    </w:p>
    <w:p w14:paraId="22E2F6F1" w14:textId="78284042" w:rsidR="00BD126D" w:rsidRPr="00BD126D" w:rsidRDefault="00BD126D" w:rsidP="00BD126D">
      <w:pPr>
        <w:pStyle w:val="Heading1"/>
        <w:keepLines/>
        <w:pageBreakBefore w:val="0"/>
        <w:pBdr>
          <w:bottom w:val="none" w:sz="0" w:space="0" w:color="auto"/>
        </w:pBdr>
        <w:spacing w:before="240"/>
      </w:pPr>
      <w:r>
        <w:t>Members of the ACT Legislative Assembly</w:t>
      </w:r>
    </w:p>
    <w:p w14:paraId="14CC8C96" w14:textId="77777777" w:rsidR="001C7C9C" w:rsidRPr="003B1A08" w:rsidRDefault="001C7C9C" w:rsidP="001C7C9C">
      <w:pPr>
        <w:pStyle w:val="madeunder"/>
        <w:spacing w:before="240" w:after="120"/>
      </w:pPr>
      <w:bookmarkStart w:id="2" w:name="_Hlk191560567"/>
      <w:r w:rsidRPr="003B1A08">
        <w:t xml:space="preserve">made under the </w:t>
      </w:r>
    </w:p>
    <w:p w14:paraId="063A20D3" w14:textId="5F9022D2" w:rsidR="001C7C9C" w:rsidRPr="003B1A08" w:rsidRDefault="001C7C9C" w:rsidP="001C7C9C">
      <w:pPr>
        <w:pStyle w:val="CoverActName"/>
        <w:rPr>
          <w:rFonts w:ascii="Calibri" w:hAnsi="Calibri" w:cs="Arial"/>
        </w:rPr>
      </w:pPr>
      <w:r w:rsidRPr="003B1A08">
        <w:rPr>
          <w:rFonts w:ascii="Calibri" w:hAnsi="Calibri" w:cs="Arial"/>
        </w:rPr>
        <w:t xml:space="preserve">Remuneration Tribunal Act 1995, section </w:t>
      </w:r>
      <w:r>
        <w:rPr>
          <w:rFonts w:ascii="Calibri" w:hAnsi="Calibri" w:cs="Arial"/>
        </w:rPr>
        <w:t>9</w:t>
      </w:r>
      <w:r w:rsidRPr="003B1A08">
        <w:rPr>
          <w:rFonts w:ascii="Calibri" w:hAnsi="Calibri" w:cs="Arial"/>
        </w:rPr>
        <w:t xml:space="preserve"> (</w:t>
      </w:r>
      <w:r w:rsidRPr="00641CB6">
        <w:rPr>
          <w:rFonts w:ascii="Calibri" w:hAnsi="Calibri" w:cs="Arial"/>
        </w:rPr>
        <w:t xml:space="preserve">Inquiries about </w:t>
      </w:r>
      <w:r>
        <w:rPr>
          <w:rFonts w:ascii="Calibri" w:hAnsi="Calibri" w:cs="Arial"/>
        </w:rPr>
        <w:t>members of Legislative Assembly)</w:t>
      </w:r>
    </w:p>
    <w:bookmarkEnd w:id="2"/>
    <w:p w14:paraId="74FBD987" w14:textId="1ACDE53E" w:rsidR="009E4C67" w:rsidRPr="00F215BD" w:rsidRDefault="009E4C67" w:rsidP="009E4C67">
      <w:pPr>
        <w:pStyle w:val="Heading1"/>
        <w:keepLines/>
        <w:pageBreakBefore w:val="0"/>
        <w:pBdr>
          <w:bottom w:val="none" w:sz="0" w:space="0" w:color="auto"/>
        </w:pBdr>
        <w:spacing w:before="240"/>
      </w:pPr>
      <w:r w:rsidRPr="00F215BD">
        <w:t>AC</w:t>
      </w:r>
      <w:r w:rsidR="007D57D5">
        <w:t>C</w:t>
      </w:r>
      <w:r w:rsidRPr="00F215BD">
        <w:t>OMPANYING STATEMENT</w:t>
      </w:r>
      <w:r w:rsidR="0013477F">
        <w:t xml:space="preserve">  </w:t>
      </w:r>
    </w:p>
    <w:p w14:paraId="7CD50454" w14:textId="77777777" w:rsidR="009E4C67" w:rsidRPr="003B1A08" w:rsidRDefault="009E4C67" w:rsidP="009E4C67">
      <w:pPr>
        <w:pStyle w:val="N-line3"/>
        <w:pBdr>
          <w:bottom w:val="none" w:sz="0" w:space="0" w:color="auto"/>
        </w:pBdr>
      </w:pPr>
    </w:p>
    <w:p w14:paraId="13140720" w14:textId="77777777" w:rsidR="00D34A6C" w:rsidRDefault="00D34A6C" w:rsidP="009E4C67">
      <w:pPr>
        <w:pStyle w:val="N-line3"/>
        <w:pBdr>
          <w:top w:val="single" w:sz="12" w:space="1" w:color="auto"/>
          <w:bottom w:val="none" w:sz="0" w:space="0" w:color="auto"/>
        </w:pBdr>
      </w:pPr>
    </w:p>
    <w:p w14:paraId="02620CCD" w14:textId="77777777" w:rsidR="00F30A6E" w:rsidRDefault="00F30A6E" w:rsidP="00F30A6E">
      <w:pPr>
        <w:pStyle w:val="Heading2"/>
        <w:spacing w:before="120" w:after="60"/>
        <w:jc w:val="left"/>
      </w:pPr>
      <w:r>
        <w:t>Background</w:t>
      </w:r>
    </w:p>
    <w:p w14:paraId="21BD3750" w14:textId="55BF82EE" w:rsidR="00BD126D" w:rsidRDefault="00F30A6E" w:rsidP="00F30A6E">
      <w:pPr>
        <w:spacing w:before="120" w:after="60"/>
      </w:pPr>
      <w:r w:rsidRPr="00626357">
        <w:t xml:space="preserve">Under section </w:t>
      </w:r>
      <w:r w:rsidR="001C7C9C">
        <w:t>9</w:t>
      </w:r>
      <w:r w:rsidRPr="00626357">
        <w:t xml:space="preserve"> of the </w:t>
      </w:r>
      <w:r w:rsidRPr="00626357">
        <w:rPr>
          <w:i/>
        </w:rPr>
        <w:t>Remuneration Tribunal Act 1995</w:t>
      </w:r>
      <w:r w:rsidRPr="00626357">
        <w:t xml:space="preserve"> </w:t>
      </w:r>
      <w:r w:rsidR="00A750B6">
        <w:t xml:space="preserve">(the Act), </w:t>
      </w:r>
      <w:r w:rsidRPr="00626357">
        <w:t>the Remuneration Tribunal (</w:t>
      </w:r>
      <w:r w:rsidR="00A750B6">
        <w:t xml:space="preserve">the </w:t>
      </w:r>
      <w:r w:rsidRPr="00626357">
        <w:t xml:space="preserve">Tribunal) is required to inquire into, and determine, the </w:t>
      </w:r>
      <w:r w:rsidR="00500C2D">
        <w:t>remuneration</w:t>
      </w:r>
      <w:r w:rsidRPr="00626357">
        <w:t>, allowances and other entitlements for</w:t>
      </w:r>
      <w:r w:rsidR="00BD126D">
        <w:t>:</w:t>
      </w:r>
    </w:p>
    <w:p w14:paraId="3323D605" w14:textId="2CCD448D" w:rsidR="00BD126D" w:rsidRPr="00DA1FDE" w:rsidRDefault="00BD126D" w:rsidP="00BD126D">
      <w:pPr>
        <w:pStyle w:val="ListParagraph"/>
        <w:numPr>
          <w:ilvl w:val="0"/>
          <w:numId w:val="49"/>
        </w:numPr>
        <w:spacing w:before="120" w:after="60"/>
        <w:rPr>
          <w:sz w:val="24"/>
          <w:szCs w:val="24"/>
        </w:rPr>
      </w:pPr>
      <w:r w:rsidRPr="00DA1FDE">
        <w:rPr>
          <w:sz w:val="24"/>
          <w:szCs w:val="24"/>
        </w:rPr>
        <w:t>The Chief Minister;</w:t>
      </w:r>
    </w:p>
    <w:p w14:paraId="526A45BC" w14:textId="1EFF587F" w:rsidR="00BD126D" w:rsidRPr="00DA1FDE" w:rsidRDefault="00BD126D" w:rsidP="00BD126D">
      <w:pPr>
        <w:pStyle w:val="ListParagraph"/>
        <w:numPr>
          <w:ilvl w:val="0"/>
          <w:numId w:val="49"/>
        </w:numPr>
        <w:spacing w:before="120" w:after="60"/>
        <w:rPr>
          <w:sz w:val="24"/>
          <w:szCs w:val="24"/>
        </w:rPr>
      </w:pPr>
      <w:r w:rsidRPr="00DA1FDE">
        <w:rPr>
          <w:sz w:val="24"/>
          <w:szCs w:val="24"/>
        </w:rPr>
        <w:t>The Deputy Chief Minister;</w:t>
      </w:r>
    </w:p>
    <w:p w14:paraId="44F2C3CC" w14:textId="2A92A6DB" w:rsidR="00BD126D" w:rsidRPr="00DA1FDE" w:rsidRDefault="00BD126D" w:rsidP="00BD126D">
      <w:pPr>
        <w:pStyle w:val="ListParagraph"/>
        <w:numPr>
          <w:ilvl w:val="0"/>
          <w:numId w:val="49"/>
        </w:numPr>
        <w:spacing w:before="120" w:after="60"/>
        <w:rPr>
          <w:sz w:val="24"/>
          <w:szCs w:val="24"/>
        </w:rPr>
      </w:pPr>
      <w:r w:rsidRPr="00DA1FDE">
        <w:rPr>
          <w:sz w:val="24"/>
          <w:szCs w:val="24"/>
        </w:rPr>
        <w:t>Other Ministers; and</w:t>
      </w:r>
    </w:p>
    <w:p w14:paraId="5717F25A" w14:textId="00A5BD86" w:rsidR="00BD126D" w:rsidRPr="00DA1FDE" w:rsidRDefault="00BD126D" w:rsidP="00BD126D">
      <w:pPr>
        <w:pStyle w:val="ListParagraph"/>
        <w:numPr>
          <w:ilvl w:val="0"/>
          <w:numId w:val="49"/>
        </w:numPr>
        <w:spacing w:before="120" w:after="60"/>
        <w:rPr>
          <w:sz w:val="24"/>
          <w:szCs w:val="24"/>
        </w:rPr>
      </w:pPr>
      <w:r w:rsidRPr="00DA1FDE">
        <w:rPr>
          <w:sz w:val="24"/>
          <w:szCs w:val="24"/>
        </w:rPr>
        <w:t>Members of the Legislative Assembly (Members) other than Ministers, including the Presiding Officer (known as the Speaker).</w:t>
      </w:r>
    </w:p>
    <w:p w14:paraId="7164768C" w14:textId="47911AA7" w:rsidR="00BD126D" w:rsidRDefault="00BD126D" w:rsidP="00BD126D">
      <w:pPr>
        <w:spacing w:before="120" w:after="60"/>
      </w:pPr>
      <w:r>
        <w:t xml:space="preserve">Section 9 of the Act, read in conjunction with section 73 of the </w:t>
      </w:r>
      <w:r w:rsidRPr="00BD126D">
        <w:rPr>
          <w:i/>
          <w:iCs/>
        </w:rPr>
        <w:t>Australian Capital Territory (Self-Government) Act 1988 (Commonwealth)</w:t>
      </w:r>
      <w:r>
        <w:t>, requires the Tribunal to determine the salary and allowances for the:</w:t>
      </w:r>
    </w:p>
    <w:p w14:paraId="24B85C1A" w14:textId="08EA3AA8" w:rsidR="00BD126D" w:rsidRPr="00DA1FDE" w:rsidRDefault="00BD126D" w:rsidP="00BD126D">
      <w:pPr>
        <w:pStyle w:val="ListParagraph"/>
        <w:numPr>
          <w:ilvl w:val="0"/>
          <w:numId w:val="50"/>
        </w:numPr>
        <w:spacing w:before="120" w:after="60"/>
        <w:rPr>
          <w:sz w:val="24"/>
          <w:szCs w:val="24"/>
        </w:rPr>
      </w:pPr>
      <w:r w:rsidRPr="00DA1FDE">
        <w:rPr>
          <w:sz w:val="24"/>
          <w:szCs w:val="24"/>
        </w:rPr>
        <w:t>Leader of the Opposition;</w:t>
      </w:r>
    </w:p>
    <w:p w14:paraId="1CD8F7C1" w14:textId="76525610" w:rsidR="00BD126D" w:rsidRPr="00DA1FDE" w:rsidRDefault="00BD126D" w:rsidP="00BD126D">
      <w:pPr>
        <w:pStyle w:val="ListParagraph"/>
        <w:numPr>
          <w:ilvl w:val="0"/>
          <w:numId w:val="50"/>
        </w:numPr>
        <w:spacing w:before="120" w:after="60"/>
        <w:rPr>
          <w:sz w:val="24"/>
          <w:szCs w:val="24"/>
        </w:rPr>
      </w:pPr>
      <w:r w:rsidRPr="00DA1FDE">
        <w:rPr>
          <w:sz w:val="24"/>
          <w:szCs w:val="24"/>
        </w:rPr>
        <w:t>Deputy Leader of the Opposition;</w:t>
      </w:r>
    </w:p>
    <w:p w14:paraId="4FBCA2AA" w14:textId="79FC1E35" w:rsidR="00BD126D" w:rsidRPr="00DA1FDE" w:rsidRDefault="00BD126D" w:rsidP="00BD126D">
      <w:pPr>
        <w:pStyle w:val="ListParagraph"/>
        <w:numPr>
          <w:ilvl w:val="0"/>
          <w:numId w:val="50"/>
        </w:numPr>
        <w:spacing w:before="120" w:after="60"/>
        <w:rPr>
          <w:sz w:val="24"/>
          <w:szCs w:val="24"/>
        </w:rPr>
      </w:pPr>
      <w:r w:rsidRPr="00DA1FDE">
        <w:rPr>
          <w:sz w:val="24"/>
          <w:szCs w:val="24"/>
        </w:rPr>
        <w:t>Government Whip;</w:t>
      </w:r>
    </w:p>
    <w:p w14:paraId="581FD342" w14:textId="607C0E69" w:rsidR="00BD126D" w:rsidRPr="00DA1FDE" w:rsidRDefault="00BD126D" w:rsidP="00BD126D">
      <w:pPr>
        <w:pStyle w:val="ListParagraph"/>
        <w:numPr>
          <w:ilvl w:val="0"/>
          <w:numId w:val="50"/>
        </w:numPr>
        <w:spacing w:before="120" w:after="60"/>
        <w:rPr>
          <w:sz w:val="24"/>
          <w:szCs w:val="24"/>
        </w:rPr>
      </w:pPr>
      <w:r w:rsidRPr="00DA1FDE">
        <w:rPr>
          <w:sz w:val="24"/>
          <w:szCs w:val="24"/>
        </w:rPr>
        <w:t xml:space="preserve">Opposition Whip; and </w:t>
      </w:r>
    </w:p>
    <w:p w14:paraId="1241CEC1" w14:textId="28F6DF40" w:rsidR="00BD126D" w:rsidRPr="00DA1FDE" w:rsidRDefault="00BD126D" w:rsidP="00BD126D">
      <w:pPr>
        <w:pStyle w:val="ListParagraph"/>
        <w:numPr>
          <w:ilvl w:val="0"/>
          <w:numId w:val="50"/>
        </w:numPr>
        <w:spacing w:before="120" w:after="60"/>
        <w:rPr>
          <w:sz w:val="24"/>
          <w:szCs w:val="24"/>
        </w:rPr>
      </w:pPr>
      <w:r w:rsidRPr="00DA1FDE">
        <w:rPr>
          <w:sz w:val="24"/>
          <w:szCs w:val="24"/>
        </w:rPr>
        <w:t>Presiding member of a committee of the Legislative Assembly.</w:t>
      </w:r>
    </w:p>
    <w:p w14:paraId="2DDC8552" w14:textId="77777777" w:rsidR="001C7C9C" w:rsidRPr="009D2938" w:rsidRDefault="001C7C9C" w:rsidP="001C7C9C">
      <w:pPr>
        <w:spacing w:before="120" w:after="60"/>
        <w:rPr>
          <w:color w:val="000000" w:themeColor="text1"/>
        </w:rPr>
      </w:pPr>
      <w:bookmarkStart w:id="3" w:name="_Hlk191560115"/>
      <w:bookmarkStart w:id="4" w:name="_Hlk163568066"/>
      <w:bookmarkStart w:id="5" w:name="_Hlk136951829"/>
      <w:bookmarkStart w:id="6" w:name="_Hlk78802250"/>
      <w:r w:rsidRPr="009D2938">
        <w:rPr>
          <w:b/>
          <w:color w:val="000000" w:themeColor="text1"/>
        </w:rPr>
        <w:t>Considerations</w:t>
      </w:r>
    </w:p>
    <w:p w14:paraId="7FF35561" w14:textId="0E7A0C65" w:rsidR="001C7C9C" w:rsidRPr="00033953" w:rsidRDefault="001C7C9C" w:rsidP="001C7C9C">
      <w:pPr>
        <w:spacing w:after="120"/>
        <w:rPr>
          <w:szCs w:val="24"/>
        </w:rPr>
      </w:pPr>
      <w:bookmarkStart w:id="7" w:name="_Hlk161732656"/>
      <w:bookmarkStart w:id="8" w:name="_Hlk191560638"/>
      <w:r w:rsidRPr="001B7AD8">
        <w:rPr>
          <w:szCs w:val="24"/>
        </w:rPr>
        <w:t xml:space="preserve">In </w:t>
      </w:r>
      <w:r>
        <w:rPr>
          <w:szCs w:val="24"/>
        </w:rPr>
        <w:t>March 2025</w:t>
      </w:r>
      <w:r w:rsidRPr="001B7AD8">
        <w:rPr>
          <w:szCs w:val="24"/>
        </w:rPr>
        <w:t xml:space="preserve">, the Tribunal commenced its Autumn Sitting to consider the remuneration, allowances and other entitlements of the following </w:t>
      </w:r>
      <w:r w:rsidRPr="00033953">
        <w:rPr>
          <w:szCs w:val="24"/>
        </w:rPr>
        <w:t xml:space="preserve">officeholders: </w:t>
      </w:r>
    </w:p>
    <w:p w14:paraId="351F6C17" w14:textId="77777777" w:rsidR="001C7C9C" w:rsidRPr="00677D07" w:rsidRDefault="001C7C9C" w:rsidP="001C7C9C">
      <w:pPr>
        <w:pStyle w:val="ListParagraph"/>
        <w:numPr>
          <w:ilvl w:val="0"/>
          <w:numId w:val="48"/>
        </w:numPr>
        <w:spacing w:after="120"/>
        <w:rPr>
          <w:sz w:val="24"/>
          <w:szCs w:val="24"/>
        </w:rPr>
      </w:pPr>
      <w:r w:rsidRPr="00677D07">
        <w:rPr>
          <w:sz w:val="24"/>
          <w:szCs w:val="24"/>
        </w:rPr>
        <w:t>Members of the Legislative Assembly (including the Chief Minister, Deputy Chief Minister, and other Ministers and Members of the Legislative Assembly holding particular offices);</w:t>
      </w:r>
    </w:p>
    <w:p w14:paraId="11827FF5" w14:textId="77777777" w:rsidR="001C7C9C" w:rsidRPr="00677D07" w:rsidRDefault="001C7C9C" w:rsidP="001C7C9C">
      <w:pPr>
        <w:pStyle w:val="ListParagraph"/>
        <w:numPr>
          <w:ilvl w:val="0"/>
          <w:numId w:val="48"/>
        </w:numPr>
        <w:spacing w:after="120"/>
        <w:rPr>
          <w:sz w:val="24"/>
          <w:szCs w:val="24"/>
        </w:rPr>
      </w:pPr>
      <w:r w:rsidRPr="00677D07">
        <w:rPr>
          <w:sz w:val="24"/>
          <w:szCs w:val="24"/>
        </w:rPr>
        <w:lastRenderedPageBreak/>
        <w:t>the Head of Service, Directors-General and ACT Public Service Executives;</w:t>
      </w:r>
      <w:r>
        <w:rPr>
          <w:sz w:val="24"/>
          <w:szCs w:val="24"/>
        </w:rPr>
        <w:t xml:space="preserve"> and</w:t>
      </w:r>
    </w:p>
    <w:p w14:paraId="56738610" w14:textId="77777777" w:rsidR="001C7C9C" w:rsidRPr="00677D07" w:rsidRDefault="001C7C9C" w:rsidP="001C7C9C">
      <w:pPr>
        <w:pStyle w:val="ListParagraph"/>
        <w:numPr>
          <w:ilvl w:val="0"/>
          <w:numId w:val="48"/>
        </w:numPr>
        <w:spacing w:after="120"/>
        <w:rPr>
          <w:sz w:val="24"/>
          <w:szCs w:val="24"/>
        </w:rPr>
      </w:pPr>
      <w:r w:rsidRPr="00677D07">
        <w:rPr>
          <w:sz w:val="24"/>
          <w:szCs w:val="24"/>
        </w:rPr>
        <w:t>Full-time Statutory Office</w:t>
      </w:r>
      <w:r>
        <w:rPr>
          <w:sz w:val="24"/>
          <w:szCs w:val="24"/>
        </w:rPr>
        <w:t>-</w:t>
      </w:r>
      <w:r w:rsidRPr="00677D07">
        <w:rPr>
          <w:sz w:val="24"/>
          <w:szCs w:val="24"/>
        </w:rPr>
        <w:t xml:space="preserve">Holders, referred to in Section 10(1) of the </w:t>
      </w:r>
      <w:r w:rsidRPr="007468A3">
        <w:rPr>
          <w:i/>
          <w:sz w:val="24"/>
          <w:szCs w:val="24"/>
        </w:rPr>
        <w:t>Remuneration Tribunal Act 1995</w:t>
      </w:r>
      <w:r w:rsidRPr="00677D07">
        <w:rPr>
          <w:sz w:val="24"/>
          <w:szCs w:val="24"/>
        </w:rPr>
        <w:t>, including the Clerk of the Legislative Assembly, the Auditor-General and Electoral Commissioner</w:t>
      </w:r>
      <w:r>
        <w:rPr>
          <w:sz w:val="24"/>
          <w:szCs w:val="24"/>
        </w:rPr>
        <w:t>.</w:t>
      </w:r>
    </w:p>
    <w:bookmarkEnd w:id="7"/>
    <w:p w14:paraId="1928609F" w14:textId="77777777" w:rsidR="002D5DBA" w:rsidRPr="00D9585F" w:rsidRDefault="001C7C9C" w:rsidP="002D5DBA">
      <w:pPr>
        <w:spacing w:after="120"/>
        <w:rPr>
          <w:rFonts w:cs="Calibri"/>
          <w:szCs w:val="24"/>
        </w:rPr>
      </w:pPr>
      <w:r w:rsidRPr="00F73252" w:rsidDel="00BB4820">
        <w:rPr>
          <w:rFonts w:cs="Calibri"/>
          <w:szCs w:val="24"/>
        </w:rPr>
        <w:t xml:space="preserve">The </w:t>
      </w:r>
      <w:bookmarkEnd w:id="3"/>
      <w:bookmarkEnd w:id="8"/>
      <w:r w:rsidR="002D5DBA" w:rsidRPr="00D9585F">
        <w:rPr>
          <w:rFonts w:cs="Calibri"/>
          <w:szCs w:val="24"/>
        </w:rPr>
        <w:t>2025</w:t>
      </w:r>
      <w:r w:rsidR="002D5DBA" w:rsidRPr="00D9585F" w:rsidDel="00BB4820">
        <w:rPr>
          <w:rFonts w:cs="Calibri"/>
          <w:szCs w:val="24"/>
        </w:rPr>
        <w:t xml:space="preserve"> </w:t>
      </w:r>
      <w:r w:rsidR="002D5DBA" w:rsidRPr="00D9585F">
        <w:rPr>
          <w:rFonts w:cs="Calibri"/>
          <w:szCs w:val="24"/>
        </w:rPr>
        <w:t>Autumn Sitting was advertised</w:t>
      </w:r>
      <w:r w:rsidR="002D5DBA" w:rsidRPr="00D9585F" w:rsidDel="00BB4820">
        <w:rPr>
          <w:rFonts w:cs="Calibri"/>
          <w:szCs w:val="24"/>
        </w:rPr>
        <w:t xml:space="preserve"> on </w:t>
      </w:r>
      <w:r w:rsidR="002D5DBA" w:rsidRPr="00D9585F">
        <w:rPr>
          <w:rFonts w:cs="Calibri"/>
          <w:szCs w:val="24"/>
        </w:rPr>
        <w:t>the Remuneration Tribunal ACT</w:t>
      </w:r>
      <w:r w:rsidR="002D5DBA" w:rsidRPr="00D9585F" w:rsidDel="00BB4820">
        <w:rPr>
          <w:rFonts w:cs="Calibri"/>
          <w:szCs w:val="24"/>
        </w:rPr>
        <w:t xml:space="preserve"> website and in </w:t>
      </w:r>
      <w:r w:rsidR="002D5DBA" w:rsidRPr="00D9585F">
        <w:rPr>
          <w:rFonts w:cs="Calibri"/>
          <w:szCs w:val="24"/>
        </w:rPr>
        <w:t>t</w:t>
      </w:r>
      <w:r w:rsidR="002D5DBA" w:rsidRPr="00D9585F" w:rsidDel="00BB4820">
        <w:rPr>
          <w:rFonts w:cs="Calibri"/>
          <w:szCs w:val="24"/>
        </w:rPr>
        <w:t xml:space="preserve">he Canberra Times on </w:t>
      </w:r>
      <w:r w:rsidR="002D5DBA" w:rsidRPr="00D9585F">
        <w:rPr>
          <w:rFonts w:cs="Calibri"/>
          <w:szCs w:val="24"/>
        </w:rPr>
        <w:t>14 December 2024.</w:t>
      </w:r>
      <w:r w:rsidR="002D5DBA" w:rsidRPr="00D9585F" w:rsidDel="00BB4820">
        <w:rPr>
          <w:rFonts w:cs="Calibri"/>
          <w:szCs w:val="24"/>
        </w:rPr>
        <w:t xml:space="preserve"> </w:t>
      </w:r>
      <w:r w:rsidR="002D5DBA" w:rsidRPr="00D9585F">
        <w:rPr>
          <w:rFonts w:cs="Calibri"/>
          <w:szCs w:val="24"/>
        </w:rPr>
        <w:t xml:space="preserve">The Tribunal also wrote to the relevant officeholders inviting submissions. </w:t>
      </w:r>
    </w:p>
    <w:p w14:paraId="3D0F74BA" w14:textId="77777777" w:rsidR="002D5DBA" w:rsidRPr="00F630FF" w:rsidRDefault="002D5DBA" w:rsidP="002D5DBA">
      <w:pPr>
        <w:spacing w:after="120"/>
        <w:rPr>
          <w:rFonts w:cs="Calibri"/>
          <w:szCs w:val="24"/>
        </w:rPr>
      </w:pPr>
      <w:r w:rsidRPr="00F630FF">
        <w:rPr>
          <w:rFonts w:cs="Calibri"/>
          <w:szCs w:val="24"/>
        </w:rPr>
        <w:t xml:space="preserve">At its meeting in March 2025, the Tribunal met with the Chief Minister, ACT Government Treasury officials and officials responsible for the Enterprise Agreement bargaining for ACT Public Sector non-executive employees. The Tribunal also met with a number of full-time public officeholders and departmental officials. </w:t>
      </w:r>
    </w:p>
    <w:bookmarkEnd w:id="4"/>
    <w:bookmarkEnd w:id="5"/>
    <w:bookmarkEnd w:id="6"/>
    <w:p w14:paraId="66D667C2" w14:textId="77777777" w:rsidR="002D5DBA" w:rsidRPr="00F630FF" w:rsidRDefault="002D5DBA" w:rsidP="002D5DBA">
      <w:pPr>
        <w:spacing w:after="120"/>
        <w:rPr>
          <w:rFonts w:cs="Calibri"/>
          <w:color w:val="000000" w:themeColor="text1"/>
          <w:szCs w:val="24"/>
        </w:rPr>
      </w:pPr>
      <w:r w:rsidRPr="00F630FF">
        <w:rPr>
          <w:rFonts w:cs="Calibri"/>
          <w:color w:val="000000" w:themeColor="text1"/>
          <w:szCs w:val="24"/>
        </w:rPr>
        <w:t>The briefing provided to the Tribunal by ACT Treasury confirmed that the</w:t>
      </w:r>
      <w:r w:rsidRPr="00F630FF">
        <w:rPr>
          <w:rFonts w:cs="Calibri"/>
        </w:rPr>
        <w:t xml:space="preserve"> ACT economy is strong and continues to grow at a faster rate than the Australian economy, reflecting ACT Government, Commonwealth and private sector investment and expenditure in the region</w:t>
      </w:r>
      <w:r w:rsidRPr="00F630FF">
        <w:rPr>
          <w:rFonts w:cs="Calibri"/>
          <w:color w:val="000000" w:themeColor="text1"/>
          <w:szCs w:val="24"/>
        </w:rPr>
        <w:t xml:space="preserve">. </w:t>
      </w:r>
      <w:r w:rsidRPr="00F630FF">
        <w:rPr>
          <w:rFonts w:cs="Calibri"/>
          <w:szCs w:val="24"/>
        </w:rPr>
        <w:t xml:space="preserve">The ACT Government and Treasury indicated that despite this positive outlook for the economy, the ACT budget faces significant fiscal challenges. </w:t>
      </w:r>
    </w:p>
    <w:p w14:paraId="61DF08CD" w14:textId="77777777" w:rsidR="00953C7A" w:rsidRDefault="00953C7A" w:rsidP="002D5DBA">
      <w:pPr>
        <w:spacing w:after="120"/>
        <w:rPr>
          <w:rFonts w:cs="Calibri"/>
          <w:szCs w:val="24"/>
        </w:rPr>
      </w:pPr>
      <w:r w:rsidRPr="006462F8">
        <w:rPr>
          <w:szCs w:val="24"/>
        </w:rPr>
        <w:t xml:space="preserve">The Tribunal balanced this consideration with the importance of the Territory providing competitive remuneration, allowances and other entitlements to Members of the Legislative Assembly. </w:t>
      </w:r>
      <w:r w:rsidRPr="006462F8">
        <w:rPr>
          <w:rFonts w:cs="Calibri"/>
          <w:szCs w:val="24"/>
        </w:rPr>
        <w:t>In this context, the Tribunal noted the wage policies and remuneration determinations by its Commonwealth and State/Territory counterparts.</w:t>
      </w:r>
    </w:p>
    <w:p w14:paraId="190A530F" w14:textId="30E87BB8" w:rsidR="002D5DBA" w:rsidRPr="00F630FF" w:rsidRDefault="002D5DBA" w:rsidP="002D5DBA">
      <w:pPr>
        <w:spacing w:after="120"/>
        <w:rPr>
          <w:rFonts w:cs="Calibri"/>
          <w:color w:val="000000" w:themeColor="text1"/>
        </w:rPr>
      </w:pPr>
      <w:r w:rsidRPr="00F630FF">
        <w:rPr>
          <w:rFonts w:cs="Calibri"/>
          <w:color w:val="000000" w:themeColor="text1"/>
        </w:rPr>
        <w:t>The Australian Bureau of Statistics released the Consumer Price Index for the December 2024 Quarter, which included an increase of 0.1 per cent for the ACT during the quarter</w:t>
      </w:r>
      <w:r w:rsidRPr="00A011DD">
        <w:rPr>
          <w:rStyle w:val="FootnoteReference"/>
          <w:rFonts w:ascii="Calibri" w:hAnsi="Calibri" w:cs="Calibri"/>
          <w:color w:val="000000" w:themeColor="text1"/>
        </w:rPr>
        <w:footnoteReference w:id="1"/>
      </w:r>
      <w:r w:rsidRPr="00A011DD">
        <w:rPr>
          <w:rFonts w:cs="Calibri"/>
          <w:color w:val="000000" w:themeColor="text1"/>
        </w:rPr>
        <w:t xml:space="preserve">, </w:t>
      </w:r>
      <w:r w:rsidRPr="00F630FF">
        <w:rPr>
          <w:rFonts w:cs="Calibri"/>
          <w:color w:val="000000" w:themeColor="text1"/>
        </w:rPr>
        <w:t>and a 2.2 per cent increase over the year (December 2023 to December 2024).</w:t>
      </w:r>
      <w:r w:rsidRPr="00F630FF">
        <w:rPr>
          <w:rStyle w:val="FootnoteReference"/>
          <w:rFonts w:cs="Calibri"/>
          <w:color w:val="000000" w:themeColor="text1"/>
        </w:rPr>
        <w:t xml:space="preserve"> </w:t>
      </w:r>
      <w:r w:rsidRPr="00A011DD">
        <w:rPr>
          <w:rStyle w:val="FootnoteReference"/>
          <w:rFonts w:ascii="Calibri" w:hAnsi="Calibri" w:cs="Calibri"/>
          <w:color w:val="000000" w:themeColor="text1"/>
        </w:rPr>
        <w:footnoteReference w:id="2"/>
      </w:r>
      <w:r w:rsidRPr="00F630FF">
        <w:rPr>
          <w:rFonts w:cs="Calibri"/>
          <w:color w:val="000000" w:themeColor="text1"/>
        </w:rPr>
        <w:t xml:space="preserve"> The national mean inflation was 2.4 per cent over the year.</w:t>
      </w:r>
      <w:r w:rsidRPr="00A011DD">
        <w:rPr>
          <w:rStyle w:val="FootnoteReference"/>
          <w:rFonts w:ascii="Calibri" w:hAnsi="Calibri" w:cs="Calibri"/>
          <w:color w:val="000000" w:themeColor="text1"/>
        </w:rPr>
        <w:footnoteReference w:id="3"/>
      </w:r>
      <w:r w:rsidRPr="00F630FF">
        <w:rPr>
          <w:rFonts w:cs="Calibri"/>
          <w:color w:val="000000" w:themeColor="text1"/>
        </w:rPr>
        <w:t xml:space="preserve"> While inflation has moderated, cost of living pressures persist. In this context the Tribunal </w:t>
      </w:r>
      <w:r w:rsidRPr="00F630FF">
        <w:rPr>
          <w:rFonts w:cs="Calibri"/>
        </w:rPr>
        <w:t>continues to be cognisant of the future compounding effect of not providing increases in remuneration.</w:t>
      </w:r>
    </w:p>
    <w:p w14:paraId="3C2124DD" w14:textId="5053993B" w:rsidR="002D5DBA" w:rsidRPr="00F73252" w:rsidRDefault="009D7B52" w:rsidP="002D5DBA">
      <w:pPr>
        <w:spacing w:after="120"/>
        <w:rPr>
          <w:rFonts w:cs="Calibri"/>
          <w:color w:val="000000" w:themeColor="text1"/>
          <w:szCs w:val="24"/>
        </w:rPr>
      </w:pPr>
      <w:bookmarkStart w:id="9" w:name="_Hlk194313889"/>
      <w:r>
        <w:t>The Tribunal took a decision to determine no increases to allowances and other entitlements for Members of the Legislative Assembly</w:t>
      </w:r>
      <w:r w:rsidR="00182B00">
        <w:t xml:space="preserve">. </w:t>
      </w:r>
      <w:r w:rsidR="00182B00" w:rsidRPr="00F630FF">
        <w:rPr>
          <w:rFonts w:cs="Calibri"/>
          <w:color w:val="000000" w:themeColor="text1"/>
          <w:szCs w:val="24"/>
        </w:rPr>
        <w:t xml:space="preserve">The Tribunal considered the local and national contexts and </w:t>
      </w:r>
      <w:r w:rsidR="00182B00">
        <w:rPr>
          <w:rFonts w:cs="Calibri"/>
          <w:color w:val="000000" w:themeColor="text1"/>
        </w:rPr>
        <w:t xml:space="preserve">the advice regarding the current economic status of the Territory. It therefore </w:t>
      </w:r>
      <w:r w:rsidR="00182B00">
        <w:t xml:space="preserve">decided </w:t>
      </w:r>
      <w:r w:rsidR="002D5DBA" w:rsidRPr="00F630FF">
        <w:rPr>
          <w:rFonts w:cs="Calibri"/>
          <w:color w:val="000000" w:themeColor="text1"/>
          <w:szCs w:val="24"/>
        </w:rPr>
        <w:t xml:space="preserve">that an increase to remuneration of 2 per cent is a measured response given the current circumstances. </w:t>
      </w:r>
    </w:p>
    <w:bookmarkEnd w:id="9"/>
    <w:p w14:paraId="3AF0A2D5" w14:textId="77777777" w:rsidR="002D5DBA" w:rsidRDefault="002D5DBA" w:rsidP="002D5DBA">
      <w:pPr>
        <w:rPr>
          <w:b/>
          <w:color w:val="000000" w:themeColor="text1"/>
          <w:szCs w:val="24"/>
        </w:rPr>
      </w:pPr>
    </w:p>
    <w:p w14:paraId="3CA3A80F" w14:textId="77777777" w:rsidR="002D5DBA" w:rsidRDefault="002D5DBA" w:rsidP="002D5DBA">
      <w:pPr>
        <w:spacing w:before="120" w:after="120"/>
        <w:rPr>
          <w:b/>
          <w:color w:val="000000" w:themeColor="text1"/>
          <w:szCs w:val="24"/>
        </w:rPr>
      </w:pPr>
      <w:r w:rsidRPr="00F73252">
        <w:rPr>
          <w:b/>
          <w:color w:val="000000" w:themeColor="text1"/>
          <w:szCs w:val="24"/>
        </w:rPr>
        <w:t>Decision</w:t>
      </w:r>
    </w:p>
    <w:p w14:paraId="6D7329C1" w14:textId="77777777" w:rsidR="002D5DBA" w:rsidRPr="00D9585F" w:rsidRDefault="002D5DBA" w:rsidP="002D5DBA">
      <w:pPr>
        <w:spacing w:after="120"/>
        <w:rPr>
          <w:b/>
          <w:color w:val="000000" w:themeColor="text1"/>
          <w:szCs w:val="24"/>
        </w:rPr>
      </w:pPr>
      <w:r w:rsidRPr="00F73252">
        <w:rPr>
          <w:color w:val="000000" w:themeColor="text1"/>
          <w:szCs w:val="24"/>
        </w:rPr>
        <w:t xml:space="preserve">The Tribunal determines to provide an increase </w:t>
      </w:r>
      <w:r w:rsidRPr="00A14871">
        <w:rPr>
          <w:color w:val="000000" w:themeColor="text1"/>
          <w:szCs w:val="24"/>
        </w:rPr>
        <w:t>of 2 per cent to</w:t>
      </w:r>
      <w:r w:rsidRPr="00F73252">
        <w:rPr>
          <w:color w:val="000000" w:themeColor="text1"/>
          <w:szCs w:val="24"/>
        </w:rPr>
        <w:t xml:space="preserve"> the base </w:t>
      </w:r>
      <w:r w:rsidRPr="00F73252">
        <w:rPr>
          <w:color w:val="000000" w:themeColor="text1"/>
          <w:szCs w:val="24"/>
          <w:lang w:val="x-none"/>
        </w:rPr>
        <w:t xml:space="preserve">remuneration of </w:t>
      </w:r>
      <w:r w:rsidRPr="00F73252">
        <w:rPr>
          <w:color w:val="000000" w:themeColor="text1"/>
          <w:szCs w:val="24"/>
        </w:rPr>
        <w:t>officeholders</w:t>
      </w:r>
      <w:r w:rsidRPr="00F73252">
        <w:rPr>
          <w:color w:val="000000" w:themeColor="text1"/>
          <w:szCs w:val="24"/>
          <w:lang w:val="x-none"/>
        </w:rPr>
        <w:t xml:space="preserve"> </w:t>
      </w:r>
      <w:r w:rsidRPr="00F73252">
        <w:rPr>
          <w:color w:val="000000" w:themeColor="text1"/>
          <w:szCs w:val="24"/>
        </w:rPr>
        <w:t>covered by this Determination</w:t>
      </w:r>
      <w:r w:rsidRPr="00F73252">
        <w:rPr>
          <w:color w:val="000000" w:themeColor="text1"/>
          <w:szCs w:val="24"/>
          <w:lang w:val="x-none"/>
        </w:rPr>
        <w:t xml:space="preserve">. </w:t>
      </w:r>
      <w:r w:rsidRPr="00F73252">
        <w:rPr>
          <w:color w:val="000000" w:themeColor="text1"/>
          <w:szCs w:val="24"/>
        </w:rPr>
        <w:t>The increase will commence on 1 July 202</w:t>
      </w:r>
      <w:r>
        <w:rPr>
          <w:color w:val="000000" w:themeColor="text1"/>
          <w:szCs w:val="24"/>
        </w:rPr>
        <w:t>5</w:t>
      </w:r>
      <w:r w:rsidRPr="00F73252">
        <w:rPr>
          <w:color w:val="000000" w:themeColor="text1"/>
          <w:szCs w:val="24"/>
        </w:rPr>
        <w:t>.</w:t>
      </w:r>
    </w:p>
    <w:p w14:paraId="3A180FB2" w14:textId="11696588" w:rsidR="002D5DBA" w:rsidRPr="006E7416" w:rsidRDefault="001250F6" w:rsidP="002D5DBA">
      <w:pPr>
        <w:tabs>
          <w:tab w:val="left" w:pos="4253"/>
          <w:tab w:val="left" w:leader="dot" w:pos="8222"/>
        </w:tabs>
        <w:jc w:val="right"/>
        <w:rPr>
          <w:color w:val="000000" w:themeColor="text1"/>
        </w:rPr>
      </w:pPr>
      <w:r>
        <w:rPr>
          <w:color w:val="000000" w:themeColor="text1"/>
        </w:rPr>
        <w:t>31</w:t>
      </w:r>
      <w:r w:rsidR="002D5DBA">
        <w:rPr>
          <w:color w:val="000000" w:themeColor="text1"/>
        </w:rPr>
        <w:t xml:space="preserve"> March 2025</w:t>
      </w:r>
    </w:p>
    <w:p w14:paraId="71854889" w14:textId="77777777" w:rsidR="00DC6C6D" w:rsidRPr="003B1A08" w:rsidRDefault="00DC6C6D" w:rsidP="00DC6C6D">
      <w:pPr>
        <w:spacing w:before="120"/>
        <w:rPr>
          <w:rFonts w:cs="Arial"/>
        </w:rPr>
        <w:sectPr w:rsidR="00DC6C6D" w:rsidRPr="003B1A08" w:rsidSect="00DC6C6D">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440" w:bottom="1440" w:left="1440" w:header="720" w:footer="720" w:gutter="0"/>
          <w:cols w:space="720"/>
          <w:docGrid w:linePitch="326"/>
        </w:sectPr>
      </w:pPr>
    </w:p>
    <w:p w14:paraId="16B016CE" w14:textId="77777777" w:rsidR="001C7C9C" w:rsidRDefault="001C7C9C" w:rsidP="001C7C9C">
      <w:pPr>
        <w:pStyle w:val="Header"/>
        <w:tabs>
          <w:tab w:val="clear" w:pos="2880"/>
          <w:tab w:val="clear" w:pos="4153"/>
          <w:tab w:val="clear" w:pos="8306"/>
          <w:tab w:val="left" w:pos="1848"/>
        </w:tabs>
        <w:rPr>
          <w:rFonts w:cs="Arial"/>
          <w:sz w:val="32"/>
          <w:szCs w:val="32"/>
        </w:rPr>
      </w:pPr>
      <w:r>
        <w:rPr>
          <w:rFonts w:cs="Arial"/>
          <w:noProof/>
          <w:lang w:eastAsia="en-AU"/>
        </w:rPr>
        <w:lastRenderedPageBreak/>
        <w:drawing>
          <wp:anchor distT="0" distB="0" distL="114300" distR="114300" simplePos="0" relativeHeight="251661312" behindDoc="0" locked="0" layoutInCell="1" allowOverlap="1" wp14:anchorId="7C67AD15" wp14:editId="3067ED13">
            <wp:simplePos x="0" y="0"/>
            <wp:positionH relativeFrom="column">
              <wp:posOffset>0</wp:posOffset>
            </wp:positionH>
            <wp:positionV relativeFrom="paragraph">
              <wp:posOffset>-320040</wp:posOffset>
            </wp:positionV>
            <wp:extent cx="925200" cy="925200"/>
            <wp:effectExtent l="0" t="0" r="8255" b="8255"/>
            <wp:wrapNone/>
            <wp:docPr id="1018757794" name="Picture 1018757794" descr="Description: ACTGov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TGov_inline_black"/>
                    <pic:cNvPicPr>
                      <a:picLocks noChangeAspect="1" noChangeArrowheads="1"/>
                    </pic:cNvPicPr>
                  </pic:nvPicPr>
                  <pic:blipFill rotWithShape="1">
                    <a:blip r:embed="rId9">
                      <a:extLst>
                        <a:ext uri="{28A0092B-C50C-407E-A947-70E740481C1C}">
                          <a14:useLocalDpi xmlns:a14="http://schemas.microsoft.com/office/drawing/2010/main" val="0"/>
                        </a:ext>
                      </a:extLst>
                    </a:blip>
                    <a:srcRect r="48808"/>
                    <a:stretch/>
                  </pic:blipFill>
                  <pic:spPr bwMode="auto">
                    <a:xfrm>
                      <a:off x="0" y="0"/>
                      <a:ext cx="9252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63274">
        <w:rPr>
          <w:rFonts w:cs="Arial"/>
          <w:sz w:val="32"/>
          <w:szCs w:val="32"/>
        </w:rPr>
        <w:t>Australian Capital Territory Remuneration Tribunal</w:t>
      </w:r>
    </w:p>
    <w:p w14:paraId="06DC9BCA" w14:textId="77777777" w:rsidR="001C7C9C" w:rsidRDefault="001C7C9C" w:rsidP="00204A61">
      <w:pPr>
        <w:pStyle w:val="Heading1"/>
        <w:keepLines/>
        <w:pageBreakBefore w:val="0"/>
        <w:pBdr>
          <w:bottom w:val="none" w:sz="0" w:space="0" w:color="auto"/>
        </w:pBdr>
        <w:spacing w:before="240"/>
        <w:rPr>
          <w:color w:val="000000" w:themeColor="text1"/>
        </w:rPr>
      </w:pPr>
    </w:p>
    <w:p w14:paraId="2E8B688D" w14:textId="4E15551C" w:rsidR="00204A61" w:rsidRPr="00467BA6" w:rsidRDefault="00204A61" w:rsidP="00204A61">
      <w:pPr>
        <w:pStyle w:val="Heading1"/>
        <w:keepLines/>
        <w:pageBreakBefore w:val="0"/>
        <w:pBdr>
          <w:bottom w:val="none" w:sz="0" w:space="0" w:color="auto"/>
        </w:pBdr>
        <w:spacing w:before="240"/>
        <w:rPr>
          <w:color w:val="000000" w:themeColor="text1"/>
        </w:rPr>
      </w:pPr>
      <w:r w:rsidRPr="00467BA6">
        <w:rPr>
          <w:color w:val="000000" w:themeColor="text1"/>
        </w:rPr>
        <w:t xml:space="preserve">Determination </w:t>
      </w:r>
      <w:r w:rsidR="00FC2703">
        <w:rPr>
          <w:color w:val="000000" w:themeColor="text1"/>
        </w:rPr>
        <w:t>4</w:t>
      </w:r>
      <w:r w:rsidR="007E424C" w:rsidRPr="00467BA6">
        <w:rPr>
          <w:color w:val="000000" w:themeColor="text1"/>
        </w:rPr>
        <w:t xml:space="preserve"> </w:t>
      </w:r>
      <w:r w:rsidRPr="00467BA6">
        <w:rPr>
          <w:color w:val="000000" w:themeColor="text1"/>
        </w:rPr>
        <w:t xml:space="preserve">of </w:t>
      </w:r>
      <w:r w:rsidR="007E424C" w:rsidRPr="00467BA6">
        <w:rPr>
          <w:color w:val="000000" w:themeColor="text1"/>
        </w:rPr>
        <w:t>20</w:t>
      </w:r>
      <w:r w:rsidR="004A61D9" w:rsidRPr="00467BA6">
        <w:rPr>
          <w:color w:val="000000" w:themeColor="text1"/>
        </w:rPr>
        <w:t>2</w:t>
      </w:r>
      <w:r w:rsidR="0085002F">
        <w:rPr>
          <w:color w:val="000000" w:themeColor="text1"/>
        </w:rPr>
        <w:t>5</w:t>
      </w:r>
    </w:p>
    <w:p w14:paraId="3536AA69" w14:textId="6CA65BA2" w:rsidR="00E71B34" w:rsidRPr="00540F3A" w:rsidRDefault="002E1B57" w:rsidP="00E71B34">
      <w:pPr>
        <w:pStyle w:val="Heading1"/>
        <w:keepLines/>
        <w:pageBreakBefore w:val="0"/>
        <w:pBdr>
          <w:bottom w:val="none" w:sz="0" w:space="0" w:color="auto"/>
        </w:pBdr>
        <w:spacing w:before="240"/>
        <w:rPr>
          <w:color w:val="000000" w:themeColor="text1"/>
        </w:rPr>
      </w:pPr>
      <w:r>
        <w:rPr>
          <w:color w:val="000000" w:themeColor="text1"/>
        </w:rPr>
        <w:t>Members of the Legislative Assembly</w:t>
      </w:r>
    </w:p>
    <w:p w14:paraId="0DBD91A6" w14:textId="77777777" w:rsidR="001C7C9C" w:rsidRPr="003B1A08" w:rsidRDefault="001C7C9C" w:rsidP="001C7C9C">
      <w:pPr>
        <w:pStyle w:val="madeunder"/>
        <w:spacing w:before="120" w:after="120"/>
      </w:pPr>
      <w:bookmarkStart w:id="10" w:name="_Hlk191560186"/>
      <w:r w:rsidRPr="003B1A08">
        <w:t xml:space="preserve">made under the </w:t>
      </w:r>
    </w:p>
    <w:p w14:paraId="3C894281" w14:textId="2912089B" w:rsidR="001C7C9C" w:rsidRPr="003B1A08" w:rsidRDefault="001C7C9C" w:rsidP="001C7C9C">
      <w:pPr>
        <w:pStyle w:val="CoverActName"/>
        <w:spacing w:after="120"/>
      </w:pPr>
      <w:r w:rsidRPr="003B1A08">
        <w:rPr>
          <w:rFonts w:ascii="Calibri" w:hAnsi="Calibri" w:cs="Arial"/>
        </w:rPr>
        <w:t xml:space="preserve">Remuneration Tribunal Act 1995, section </w:t>
      </w:r>
      <w:r>
        <w:rPr>
          <w:rFonts w:ascii="Calibri" w:hAnsi="Calibri" w:cs="Arial"/>
        </w:rPr>
        <w:t>9</w:t>
      </w:r>
      <w:r w:rsidRPr="003B1A08">
        <w:rPr>
          <w:rFonts w:ascii="Calibri" w:hAnsi="Calibri" w:cs="Arial"/>
        </w:rPr>
        <w:t xml:space="preserve"> (</w:t>
      </w:r>
      <w:r w:rsidRPr="00641CB6">
        <w:rPr>
          <w:rFonts w:ascii="Calibri" w:hAnsi="Calibri" w:cs="Arial"/>
        </w:rPr>
        <w:t xml:space="preserve">Inquiries about </w:t>
      </w:r>
      <w:r>
        <w:rPr>
          <w:rFonts w:ascii="Calibri" w:hAnsi="Calibri" w:cs="Arial"/>
        </w:rPr>
        <w:t>members of Legislative Assembly)</w:t>
      </w:r>
    </w:p>
    <w:p w14:paraId="78C9275A" w14:textId="77777777" w:rsidR="001C7C9C" w:rsidRPr="003B469E" w:rsidRDefault="001C7C9C" w:rsidP="001C7C9C">
      <w:pPr>
        <w:pStyle w:val="N-line3"/>
        <w:pBdr>
          <w:top w:val="single" w:sz="12" w:space="1" w:color="auto"/>
          <w:bottom w:val="none" w:sz="0" w:space="0" w:color="auto"/>
        </w:pBdr>
        <w:rPr>
          <w:sz w:val="12"/>
          <w:szCs w:val="12"/>
        </w:rPr>
      </w:pPr>
    </w:p>
    <w:p w14:paraId="57F79564" w14:textId="77777777" w:rsidR="001C7C9C" w:rsidRPr="00366D86" w:rsidRDefault="001C7C9C" w:rsidP="001C7C9C">
      <w:pPr>
        <w:pStyle w:val="Heading3"/>
        <w:tabs>
          <w:tab w:val="clear" w:pos="720"/>
        </w:tabs>
        <w:spacing w:before="120"/>
        <w:ind w:left="709" w:hanging="709"/>
        <w:rPr>
          <w:rFonts w:cs="Arial"/>
          <w:color w:val="000000" w:themeColor="text1"/>
          <w:szCs w:val="24"/>
        </w:rPr>
      </w:pPr>
      <w:r w:rsidRPr="00366D86">
        <w:rPr>
          <w:color w:val="000000" w:themeColor="text1"/>
          <w:szCs w:val="24"/>
        </w:rPr>
        <w:t>Commencement</w:t>
      </w:r>
      <w:r w:rsidRPr="00366D86">
        <w:rPr>
          <w:rFonts w:cs="Arial"/>
          <w:color w:val="000000" w:themeColor="text1"/>
          <w:szCs w:val="24"/>
        </w:rPr>
        <w:t xml:space="preserve"> </w:t>
      </w:r>
    </w:p>
    <w:p w14:paraId="502AF42B" w14:textId="77777777" w:rsidR="001C7C9C" w:rsidRPr="006E7416" w:rsidRDefault="001C7C9C" w:rsidP="001C7C9C">
      <w:pPr>
        <w:numPr>
          <w:ilvl w:val="1"/>
          <w:numId w:val="4"/>
        </w:numPr>
        <w:tabs>
          <w:tab w:val="clear" w:pos="720"/>
        </w:tabs>
        <w:spacing w:before="80" w:after="60"/>
        <w:ind w:left="709" w:hanging="709"/>
        <w:rPr>
          <w:color w:val="000000" w:themeColor="text1"/>
          <w:szCs w:val="24"/>
        </w:rPr>
      </w:pPr>
      <w:r w:rsidRPr="00366D86">
        <w:rPr>
          <w:color w:val="000000" w:themeColor="text1"/>
          <w:szCs w:val="24"/>
        </w:rPr>
        <w:t xml:space="preserve">This </w:t>
      </w:r>
      <w:r w:rsidRPr="006E7416">
        <w:rPr>
          <w:color w:val="000000" w:themeColor="text1"/>
          <w:szCs w:val="24"/>
        </w:rPr>
        <w:t xml:space="preserve">instrument is taken to have commenced on </w:t>
      </w:r>
      <w:r>
        <w:rPr>
          <w:color w:val="000000" w:themeColor="text1"/>
        </w:rPr>
        <w:t>1 July 2025</w:t>
      </w:r>
      <w:r w:rsidRPr="006E7416">
        <w:rPr>
          <w:color w:val="000000" w:themeColor="text1"/>
          <w:szCs w:val="24"/>
        </w:rPr>
        <w:t>.</w:t>
      </w:r>
    </w:p>
    <w:bookmarkEnd w:id="10"/>
    <w:p w14:paraId="1B0A95BF" w14:textId="7E489207" w:rsidR="00FC56F1" w:rsidRPr="00540F3A" w:rsidRDefault="002E1B57" w:rsidP="00FC56F1">
      <w:pPr>
        <w:pStyle w:val="Heading3"/>
        <w:keepLines w:val="0"/>
        <w:tabs>
          <w:tab w:val="clear" w:pos="720"/>
        </w:tabs>
        <w:ind w:left="0" w:firstLine="0"/>
        <w:rPr>
          <w:rFonts w:cs="Arial"/>
          <w:color w:val="000000" w:themeColor="text1"/>
          <w:szCs w:val="26"/>
        </w:rPr>
      </w:pPr>
      <w:r>
        <w:rPr>
          <w:rFonts w:cs="Arial"/>
          <w:color w:val="000000" w:themeColor="text1"/>
          <w:szCs w:val="26"/>
        </w:rPr>
        <w:t>Base remuneration</w:t>
      </w:r>
    </w:p>
    <w:p w14:paraId="423F1C41" w14:textId="7C079660" w:rsidR="00FC56F1" w:rsidRPr="00901AFE" w:rsidRDefault="002E1B57" w:rsidP="00901AFE">
      <w:pPr>
        <w:pStyle w:val="ListParagraph"/>
        <w:numPr>
          <w:ilvl w:val="1"/>
          <w:numId w:val="4"/>
        </w:numPr>
        <w:spacing w:before="80" w:after="60"/>
        <w:rPr>
          <w:color w:val="000000" w:themeColor="text1"/>
          <w:sz w:val="24"/>
          <w:szCs w:val="24"/>
        </w:rPr>
      </w:pPr>
      <w:r w:rsidRPr="00901AFE">
        <w:rPr>
          <w:color w:val="000000" w:themeColor="text1"/>
          <w:sz w:val="24"/>
          <w:szCs w:val="24"/>
        </w:rPr>
        <w:t>The base remuneration for Members of the Legislative Assembly (</w:t>
      </w:r>
      <w:r w:rsidRPr="00901AFE">
        <w:rPr>
          <w:b/>
          <w:bCs/>
          <w:i/>
          <w:iCs/>
          <w:color w:val="000000" w:themeColor="text1"/>
          <w:sz w:val="24"/>
          <w:szCs w:val="24"/>
        </w:rPr>
        <w:t>Member</w:t>
      </w:r>
      <w:r w:rsidRPr="00901AFE">
        <w:rPr>
          <w:color w:val="000000" w:themeColor="text1"/>
          <w:sz w:val="24"/>
          <w:szCs w:val="24"/>
        </w:rPr>
        <w:t xml:space="preserve">) is </w:t>
      </w:r>
      <w:r w:rsidR="001968D9" w:rsidRPr="00901AFE">
        <w:rPr>
          <w:color w:val="000000" w:themeColor="text1"/>
          <w:sz w:val="24"/>
          <w:szCs w:val="24"/>
        </w:rPr>
        <w:t>$</w:t>
      </w:r>
      <w:r w:rsidR="009B0020" w:rsidRPr="002D5DBA">
        <w:rPr>
          <w:color w:val="000000" w:themeColor="text1"/>
          <w:sz w:val="24"/>
          <w:szCs w:val="24"/>
        </w:rPr>
        <w:t>1</w:t>
      </w:r>
      <w:r w:rsidR="002D5DBA" w:rsidRPr="002D5DBA">
        <w:rPr>
          <w:color w:val="000000" w:themeColor="text1"/>
          <w:sz w:val="24"/>
          <w:szCs w:val="24"/>
        </w:rPr>
        <w:t>92,574</w:t>
      </w:r>
      <w:r w:rsidR="001968D9" w:rsidRPr="00901AFE">
        <w:rPr>
          <w:color w:val="000000" w:themeColor="text1"/>
          <w:sz w:val="24"/>
          <w:szCs w:val="24"/>
        </w:rPr>
        <w:t xml:space="preserve"> </w:t>
      </w:r>
      <w:r w:rsidR="00401241" w:rsidRPr="00901AFE">
        <w:rPr>
          <w:color w:val="000000" w:themeColor="text1"/>
          <w:sz w:val="24"/>
          <w:szCs w:val="24"/>
        </w:rPr>
        <w:t>per annum.</w:t>
      </w:r>
    </w:p>
    <w:p w14:paraId="0A2BB54B" w14:textId="60182329" w:rsidR="00DC6C6D" w:rsidRPr="00540F3A" w:rsidRDefault="00401241" w:rsidP="00675113">
      <w:pPr>
        <w:pStyle w:val="Heading3"/>
        <w:keepLines w:val="0"/>
        <w:tabs>
          <w:tab w:val="clear" w:pos="720"/>
        </w:tabs>
        <w:rPr>
          <w:rFonts w:cs="Arial"/>
          <w:color w:val="000000" w:themeColor="text1"/>
          <w:szCs w:val="26"/>
        </w:rPr>
      </w:pPr>
      <w:r>
        <w:rPr>
          <w:rFonts w:cs="Arial"/>
          <w:color w:val="000000" w:themeColor="text1"/>
          <w:szCs w:val="26"/>
        </w:rPr>
        <w:t>Additional annual salary</w:t>
      </w:r>
    </w:p>
    <w:p w14:paraId="404DA817" w14:textId="3A53E8F9" w:rsidR="00401241" w:rsidRDefault="00401241" w:rsidP="001461C0">
      <w:pPr>
        <w:numPr>
          <w:ilvl w:val="1"/>
          <w:numId w:val="4"/>
        </w:numPr>
        <w:tabs>
          <w:tab w:val="clear" w:pos="720"/>
        </w:tabs>
        <w:spacing w:before="80" w:after="60"/>
        <w:ind w:left="709" w:hanging="709"/>
        <w:rPr>
          <w:color w:val="000000" w:themeColor="text1"/>
        </w:rPr>
      </w:pPr>
      <w:r>
        <w:rPr>
          <w:color w:val="000000" w:themeColor="text1"/>
        </w:rPr>
        <w:t xml:space="preserve">A person holding an office mentioned in Column 1 of Table 3.1 is entitled to the additional remuneration mentioned in Column 2 of Table 3.1. </w:t>
      </w:r>
    </w:p>
    <w:p w14:paraId="401D5D04" w14:textId="79CF5F37" w:rsidR="00401241" w:rsidRPr="00401241" w:rsidRDefault="00401241" w:rsidP="00401241">
      <w:pPr>
        <w:spacing w:before="80" w:after="60"/>
        <w:ind w:left="709"/>
        <w:rPr>
          <w:b/>
          <w:bCs/>
          <w:color w:val="000000" w:themeColor="text1"/>
        </w:rPr>
      </w:pPr>
      <w:r w:rsidRPr="00401241">
        <w:rPr>
          <w:b/>
          <w:bCs/>
          <w:color w:val="000000" w:themeColor="text1"/>
        </w:rPr>
        <w:t>TABLE 3.1</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38"/>
        <w:gridCol w:w="1600"/>
        <w:gridCol w:w="1790"/>
      </w:tblGrid>
      <w:tr w:rsidR="00901AFE" w14:paraId="04D73F45" w14:textId="77777777" w:rsidTr="00C249AB">
        <w:trPr>
          <w:trHeight w:val="448"/>
        </w:trPr>
        <w:tc>
          <w:tcPr>
            <w:tcW w:w="2552" w:type="dxa"/>
            <w:shd w:val="clear" w:color="auto" w:fill="auto"/>
          </w:tcPr>
          <w:p w14:paraId="1BA6D5D8" w14:textId="77777777" w:rsidR="00901AFE" w:rsidRPr="00401241" w:rsidRDefault="00901AFE" w:rsidP="00C249AB">
            <w:pPr>
              <w:rPr>
                <w:bCs/>
                <w:szCs w:val="24"/>
              </w:rPr>
            </w:pPr>
            <w:r w:rsidRPr="00401241">
              <w:rPr>
                <w:bCs/>
                <w:szCs w:val="24"/>
              </w:rPr>
              <w:t>Column 1</w:t>
            </w:r>
          </w:p>
          <w:p w14:paraId="6A667231" w14:textId="77777777" w:rsidR="00901AFE" w:rsidRPr="00EE0E41" w:rsidRDefault="00901AFE" w:rsidP="00C249AB">
            <w:pPr>
              <w:rPr>
                <w:b/>
                <w:szCs w:val="24"/>
              </w:rPr>
            </w:pPr>
            <w:r w:rsidRPr="00EE0E41">
              <w:rPr>
                <w:b/>
                <w:szCs w:val="24"/>
              </w:rPr>
              <w:t>Office</w:t>
            </w:r>
          </w:p>
        </w:tc>
        <w:tc>
          <w:tcPr>
            <w:tcW w:w="2138" w:type="dxa"/>
            <w:shd w:val="clear" w:color="auto" w:fill="auto"/>
          </w:tcPr>
          <w:p w14:paraId="7737C0E0" w14:textId="77777777" w:rsidR="00901AFE" w:rsidRPr="00401241" w:rsidRDefault="00901AFE" w:rsidP="00C249AB">
            <w:pPr>
              <w:rPr>
                <w:bCs/>
                <w:szCs w:val="24"/>
              </w:rPr>
            </w:pPr>
            <w:r w:rsidRPr="00401241">
              <w:rPr>
                <w:bCs/>
                <w:szCs w:val="24"/>
              </w:rPr>
              <w:t>Column 2</w:t>
            </w:r>
          </w:p>
          <w:p w14:paraId="30EF53FA" w14:textId="77777777" w:rsidR="00901AFE" w:rsidRPr="00EE0E41" w:rsidRDefault="00901AFE" w:rsidP="00C249AB">
            <w:pPr>
              <w:rPr>
                <w:b/>
                <w:szCs w:val="24"/>
              </w:rPr>
            </w:pPr>
            <w:r>
              <w:rPr>
                <w:b/>
                <w:szCs w:val="24"/>
              </w:rPr>
              <w:t>Additional remuneration above the rate set out in clause 2.1</w:t>
            </w:r>
          </w:p>
        </w:tc>
        <w:tc>
          <w:tcPr>
            <w:tcW w:w="1600" w:type="dxa"/>
          </w:tcPr>
          <w:p w14:paraId="6875685F" w14:textId="77777777" w:rsidR="00901AFE" w:rsidRPr="00401241" w:rsidRDefault="00901AFE" w:rsidP="00C249AB">
            <w:pPr>
              <w:rPr>
                <w:bCs/>
                <w:szCs w:val="24"/>
              </w:rPr>
            </w:pPr>
            <w:r w:rsidRPr="00401241">
              <w:rPr>
                <w:bCs/>
                <w:szCs w:val="24"/>
              </w:rPr>
              <w:t>Column 3</w:t>
            </w:r>
          </w:p>
          <w:p w14:paraId="7B31FA72" w14:textId="77777777" w:rsidR="00901AFE" w:rsidRDefault="00901AFE" w:rsidP="00C249AB">
            <w:pPr>
              <w:rPr>
                <w:b/>
                <w:szCs w:val="24"/>
              </w:rPr>
            </w:pPr>
            <w:r>
              <w:rPr>
                <w:b/>
                <w:szCs w:val="24"/>
              </w:rPr>
              <w:t>% base remuneration</w:t>
            </w:r>
          </w:p>
        </w:tc>
        <w:tc>
          <w:tcPr>
            <w:tcW w:w="1790" w:type="dxa"/>
            <w:shd w:val="clear" w:color="auto" w:fill="auto"/>
          </w:tcPr>
          <w:p w14:paraId="4761E3DF" w14:textId="77777777" w:rsidR="00901AFE" w:rsidRPr="00401241" w:rsidRDefault="00901AFE" w:rsidP="00C249AB">
            <w:pPr>
              <w:rPr>
                <w:bCs/>
                <w:szCs w:val="24"/>
              </w:rPr>
            </w:pPr>
            <w:r w:rsidRPr="00401241">
              <w:rPr>
                <w:bCs/>
                <w:szCs w:val="24"/>
              </w:rPr>
              <w:t>Column 4</w:t>
            </w:r>
          </w:p>
          <w:p w14:paraId="116FB09D" w14:textId="77777777" w:rsidR="00901AFE" w:rsidRDefault="00901AFE" w:rsidP="00C249AB">
            <w:pPr>
              <w:rPr>
                <w:b/>
                <w:szCs w:val="24"/>
              </w:rPr>
            </w:pPr>
            <w:r>
              <w:rPr>
                <w:b/>
                <w:szCs w:val="24"/>
              </w:rPr>
              <w:t>Total remuneration</w:t>
            </w:r>
          </w:p>
        </w:tc>
      </w:tr>
      <w:tr w:rsidR="00901AFE" w:rsidRPr="00F118CE" w14:paraId="5A76E95D" w14:textId="77777777" w:rsidTr="00C249AB">
        <w:tc>
          <w:tcPr>
            <w:tcW w:w="2552" w:type="dxa"/>
            <w:vAlign w:val="center"/>
          </w:tcPr>
          <w:p w14:paraId="50A2F170" w14:textId="77777777" w:rsidR="00901AFE" w:rsidRPr="00F118CE" w:rsidRDefault="00901AFE" w:rsidP="00C249AB">
            <w:r w:rsidRPr="00F118CE">
              <w:t>Chief Minister</w:t>
            </w:r>
          </w:p>
        </w:tc>
        <w:tc>
          <w:tcPr>
            <w:tcW w:w="2138" w:type="dxa"/>
            <w:vAlign w:val="center"/>
          </w:tcPr>
          <w:p w14:paraId="16153872" w14:textId="09EE27F3" w:rsidR="00901AFE" w:rsidRPr="002D5DBA" w:rsidRDefault="00901AFE" w:rsidP="00C249AB">
            <w:pPr>
              <w:jc w:val="center"/>
            </w:pPr>
            <w:r w:rsidRPr="002D5DBA">
              <w:t>$</w:t>
            </w:r>
            <w:r w:rsidR="002D5DBA" w:rsidRPr="002D5DBA">
              <w:t>211,832</w:t>
            </w:r>
          </w:p>
        </w:tc>
        <w:tc>
          <w:tcPr>
            <w:tcW w:w="1600" w:type="dxa"/>
            <w:vAlign w:val="center"/>
          </w:tcPr>
          <w:p w14:paraId="47233053" w14:textId="77777777" w:rsidR="00901AFE" w:rsidRPr="002D5DBA" w:rsidRDefault="00901AFE" w:rsidP="00C249AB">
            <w:pPr>
              <w:jc w:val="center"/>
            </w:pPr>
            <w:r w:rsidRPr="002D5DBA">
              <w:t>(110%)</w:t>
            </w:r>
          </w:p>
        </w:tc>
        <w:tc>
          <w:tcPr>
            <w:tcW w:w="1790" w:type="dxa"/>
            <w:vAlign w:val="center"/>
          </w:tcPr>
          <w:p w14:paraId="2C01C1DC" w14:textId="161906AA" w:rsidR="00901AFE" w:rsidRPr="002D5DBA" w:rsidRDefault="00901AFE" w:rsidP="00C249AB">
            <w:pPr>
              <w:spacing w:before="120" w:after="60"/>
              <w:jc w:val="center"/>
              <w:rPr>
                <w:color w:val="000000" w:themeColor="text1"/>
              </w:rPr>
            </w:pPr>
            <w:r w:rsidRPr="002D5DBA">
              <w:rPr>
                <w:color w:val="000000" w:themeColor="text1"/>
              </w:rPr>
              <w:t>$</w:t>
            </w:r>
            <w:r w:rsidR="002D5DBA" w:rsidRPr="002D5DBA">
              <w:rPr>
                <w:color w:val="000000" w:themeColor="text1"/>
              </w:rPr>
              <w:t>404,406</w:t>
            </w:r>
          </w:p>
        </w:tc>
      </w:tr>
      <w:tr w:rsidR="00901AFE" w:rsidRPr="00F118CE" w14:paraId="63956244" w14:textId="77777777" w:rsidTr="00C249AB">
        <w:tc>
          <w:tcPr>
            <w:tcW w:w="2552" w:type="dxa"/>
            <w:vAlign w:val="center"/>
          </w:tcPr>
          <w:p w14:paraId="1EE389D3" w14:textId="77777777" w:rsidR="00901AFE" w:rsidRPr="00F118CE" w:rsidRDefault="00901AFE" w:rsidP="00C249AB">
            <w:r w:rsidRPr="00F118CE">
              <w:t>Deputy Chief Minister</w:t>
            </w:r>
          </w:p>
        </w:tc>
        <w:tc>
          <w:tcPr>
            <w:tcW w:w="2138" w:type="dxa"/>
            <w:vAlign w:val="center"/>
          </w:tcPr>
          <w:p w14:paraId="1A2B32DB" w14:textId="3019F0C5" w:rsidR="00901AFE" w:rsidRPr="009B0002" w:rsidRDefault="00901AFE" w:rsidP="00C249AB">
            <w:pPr>
              <w:jc w:val="center"/>
            </w:pPr>
            <w:r w:rsidRPr="009B0002">
              <w:t>$15</w:t>
            </w:r>
            <w:r w:rsidR="009B0002" w:rsidRPr="009B0002">
              <w:t>4,059</w:t>
            </w:r>
          </w:p>
        </w:tc>
        <w:tc>
          <w:tcPr>
            <w:tcW w:w="1600" w:type="dxa"/>
            <w:vAlign w:val="center"/>
          </w:tcPr>
          <w:p w14:paraId="064AAED0" w14:textId="77777777" w:rsidR="00901AFE" w:rsidRPr="009B0002" w:rsidRDefault="00901AFE" w:rsidP="00C249AB">
            <w:pPr>
              <w:jc w:val="center"/>
            </w:pPr>
            <w:r w:rsidRPr="009B0002">
              <w:t>(80%)</w:t>
            </w:r>
          </w:p>
        </w:tc>
        <w:tc>
          <w:tcPr>
            <w:tcW w:w="1790" w:type="dxa"/>
            <w:vAlign w:val="center"/>
          </w:tcPr>
          <w:p w14:paraId="7A211E53" w14:textId="28DA6D5C" w:rsidR="00901AFE" w:rsidRPr="009B0002" w:rsidRDefault="00901AFE" w:rsidP="00C249AB">
            <w:pPr>
              <w:spacing w:before="120" w:after="60"/>
              <w:jc w:val="center"/>
              <w:rPr>
                <w:color w:val="000000" w:themeColor="text1"/>
              </w:rPr>
            </w:pPr>
            <w:r w:rsidRPr="009B0002">
              <w:rPr>
                <w:color w:val="000000" w:themeColor="text1"/>
              </w:rPr>
              <w:t>$3</w:t>
            </w:r>
            <w:r w:rsidR="009B0002" w:rsidRPr="009B0002">
              <w:rPr>
                <w:color w:val="000000" w:themeColor="text1"/>
              </w:rPr>
              <w:t>46,633</w:t>
            </w:r>
          </w:p>
        </w:tc>
      </w:tr>
      <w:tr w:rsidR="00901AFE" w:rsidRPr="00F118CE" w14:paraId="6836ABC3" w14:textId="77777777" w:rsidTr="00C249AB">
        <w:tc>
          <w:tcPr>
            <w:tcW w:w="2552" w:type="dxa"/>
            <w:vAlign w:val="center"/>
          </w:tcPr>
          <w:p w14:paraId="74E7BE51" w14:textId="77777777" w:rsidR="00901AFE" w:rsidRPr="00F118CE" w:rsidRDefault="00901AFE" w:rsidP="00C249AB">
            <w:r w:rsidRPr="00F118CE">
              <w:t>Minister</w:t>
            </w:r>
          </w:p>
        </w:tc>
        <w:tc>
          <w:tcPr>
            <w:tcW w:w="2138" w:type="dxa"/>
            <w:vAlign w:val="center"/>
          </w:tcPr>
          <w:p w14:paraId="797D0DAD" w14:textId="616C3A9C" w:rsidR="00901AFE" w:rsidRPr="009B0002" w:rsidRDefault="00901AFE" w:rsidP="00C249AB">
            <w:pPr>
              <w:jc w:val="center"/>
            </w:pPr>
            <w:r w:rsidRPr="009B0002">
              <w:t>$13</w:t>
            </w:r>
            <w:r w:rsidR="009B0002" w:rsidRPr="009B0002">
              <w:t>4,801</w:t>
            </w:r>
          </w:p>
        </w:tc>
        <w:tc>
          <w:tcPr>
            <w:tcW w:w="1600" w:type="dxa"/>
            <w:vAlign w:val="center"/>
          </w:tcPr>
          <w:p w14:paraId="4D82A78C" w14:textId="77777777" w:rsidR="00901AFE" w:rsidRPr="009B0002" w:rsidRDefault="00901AFE" w:rsidP="00C249AB">
            <w:pPr>
              <w:jc w:val="center"/>
            </w:pPr>
            <w:r w:rsidRPr="009B0002">
              <w:t>(70%)</w:t>
            </w:r>
          </w:p>
        </w:tc>
        <w:tc>
          <w:tcPr>
            <w:tcW w:w="1790" w:type="dxa"/>
            <w:vAlign w:val="center"/>
          </w:tcPr>
          <w:p w14:paraId="28628FE2" w14:textId="62030A1D" w:rsidR="00901AFE" w:rsidRPr="009B0002" w:rsidRDefault="00901AFE" w:rsidP="00C249AB">
            <w:pPr>
              <w:spacing w:before="120" w:after="60"/>
              <w:jc w:val="center"/>
              <w:rPr>
                <w:color w:val="000000" w:themeColor="text1"/>
              </w:rPr>
            </w:pPr>
            <w:r w:rsidRPr="009B0002">
              <w:rPr>
                <w:color w:val="000000" w:themeColor="text1"/>
              </w:rPr>
              <w:t>$32</w:t>
            </w:r>
            <w:r w:rsidR="009B0002" w:rsidRPr="009B0002">
              <w:rPr>
                <w:color w:val="000000" w:themeColor="text1"/>
              </w:rPr>
              <w:t>7,375</w:t>
            </w:r>
          </w:p>
        </w:tc>
      </w:tr>
      <w:tr w:rsidR="00901AFE" w:rsidRPr="00F118CE" w14:paraId="7AB41D8D" w14:textId="77777777" w:rsidTr="00C249AB">
        <w:tc>
          <w:tcPr>
            <w:tcW w:w="2552" w:type="dxa"/>
            <w:vAlign w:val="center"/>
          </w:tcPr>
          <w:p w14:paraId="14684FCE" w14:textId="77777777" w:rsidR="00901AFE" w:rsidRPr="00F118CE" w:rsidRDefault="00901AFE" w:rsidP="00C249AB">
            <w:r w:rsidRPr="00F118CE">
              <w:t xml:space="preserve">Presiding Officer </w:t>
            </w:r>
          </w:p>
        </w:tc>
        <w:tc>
          <w:tcPr>
            <w:tcW w:w="2138" w:type="dxa"/>
            <w:vAlign w:val="center"/>
          </w:tcPr>
          <w:p w14:paraId="00CA3DE6" w14:textId="0F792FBB" w:rsidR="00901AFE" w:rsidRPr="009B0002" w:rsidRDefault="00901AFE" w:rsidP="00C249AB">
            <w:pPr>
              <w:jc w:val="center"/>
            </w:pPr>
            <w:r w:rsidRPr="009B0002">
              <w:t>$10</w:t>
            </w:r>
            <w:r w:rsidR="009B0002" w:rsidRPr="009B0002">
              <w:t>5,916</w:t>
            </w:r>
          </w:p>
        </w:tc>
        <w:tc>
          <w:tcPr>
            <w:tcW w:w="1600" w:type="dxa"/>
            <w:vAlign w:val="center"/>
          </w:tcPr>
          <w:p w14:paraId="69B54C89" w14:textId="77777777" w:rsidR="00901AFE" w:rsidRPr="009B0002" w:rsidRDefault="00901AFE" w:rsidP="00C249AB">
            <w:pPr>
              <w:jc w:val="center"/>
            </w:pPr>
            <w:r w:rsidRPr="009B0002">
              <w:t>(55%)</w:t>
            </w:r>
          </w:p>
        </w:tc>
        <w:tc>
          <w:tcPr>
            <w:tcW w:w="1790" w:type="dxa"/>
            <w:vAlign w:val="center"/>
          </w:tcPr>
          <w:p w14:paraId="6B461582" w14:textId="3C046E01" w:rsidR="00901AFE" w:rsidRPr="009B0002" w:rsidRDefault="00901AFE" w:rsidP="00C249AB">
            <w:pPr>
              <w:spacing w:before="120" w:after="60"/>
              <w:jc w:val="center"/>
              <w:rPr>
                <w:color w:val="000000" w:themeColor="text1"/>
              </w:rPr>
            </w:pPr>
            <w:r w:rsidRPr="009B0002">
              <w:rPr>
                <w:color w:val="000000" w:themeColor="text1"/>
              </w:rPr>
              <w:t>$29</w:t>
            </w:r>
            <w:r w:rsidR="009B0002" w:rsidRPr="009B0002">
              <w:rPr>
                <w:color w:val="000000" w:themeColor="text1"/>
              </w:rPr>
              <w:t>8,490</w:t>
            </w:r>
          </w:p>
        </w:tc>
      </w:tr>
      <w:tr w:rsidR="009B0002" w:rsidRPr="00F118CE" w14:paraId="38944324" w14:textId="77777777" w:rsidTr="00C249AB">
        <w:trPr>
          <w:trHeight w:val="480"/>
        </w:trPr>
        <w:tc>
          <w:tcPr>
            <w:tcW w:w="2552" w:type="dxa"/>
          </w:tcPr>
          <w:p w14:paraId="6ADE97D7" w14:textId="77777777" w:rsidR="009B0002" w:rsidRPr="006F0578" w:rsidRDefault="009B0002" w:rsidP="009B0002">
            <w:r w:rsidRPr="00F118CE">
              <w:t>Leader of the Opposition</w:t>
            </w:r>
          </w:p>
        </w:tc>
        <w:tc>
          <w:tcPr>
            <w:tcW w:w="2138" w:type="dxa"/>
            <w:vAlign w:val="center"/>
          </w:tcPr>
          <w:p w14:paraId="7874096A" w14:textId="5E6A8AA1" w:rsidR="009B0002" w:rsidRPr="0085002F" w:rsidRDefault="009B0002" w:rsidP="009B0002">
            <w:pPr>
              <w:jc w:val="center"/>
              <w:rPr>
                <w:highlight w:val="yellow"/>
              </w:rPr>
            </w:pPr>
            <w:r w:rsidRPr="009B0002">
              <w:t>$134,801</w:t>
            </w:r>
          </w:p>
        </w:tc>
        <w:tc>
          <w:tcPr>
            <w:tcW w:w="1600" w:type="dxa"/>
            <w:vAlign w:val="center"/>
          </w:tcPr>
          <w:p w14:paraId="169A2085" w14:textId="36D2F5AB" w:rsidR="009B0002" w:rsidRPr="0085002F" w:rsidRDefault="009B0002" w:rsidP="009B0002">
            <w:pPr>
              <w:jc w:val="center"/>
              <w:rPr>
                <w:highlight w:val="yellow"/>
              </w:rPr>
            </w:pPr>
            <w:r w:rsidRPr="009B0002">
              <w:t>(70%)</w:t>
            </w:r>
          </w:p>
        </w:tc>
        <w:tc>
          <w:tcPr>
            <w:tcW w:w="1790" w:type="dxa"/>
            <w:vAlign w:val="center"/>
          </w:tcPr>
          <w:p w14:paraId="31DE4F48" w14:textId="418E5918" w:rsidR="009B0002" w:rsidRPr="0085002F" w:rsidRDefault="009B0002" w:rsidP="009B0002">
            <w:pPr>
              <w:spacing w:before="120" w:after="60"/>
              <w:jc w:val="center"/>
              <w:rPr>
                <w:color w:val="000000" w:themeColor="text1"/>
                <w:highlight w:val="yellow"/>
              </w:rPr>
            </w:pPr>
            <w:r w:rsidRPr="009B0002">
              <w:rPr>
                <w:color w:val="000000" w:themeColor="text1"/>
              </w:rPr>
              <w:t>$327,375</w:t>
            </w:r>
          </w:p>
        </w:tc>
      </w:tr>
      <w:tr w:rsidR="00901AFE" w:rsidRPr="00F118CE" w14:paraId="1D0A97E1" w14:textId="77777777" w:rsidTr="00C249AB">
        <w:tc>
          <w:tcPr>
            <w:tcW w:w="2552" w:type="dxa"/>
          </w:tcPr>
          <w:p w14:paraId="2AE08895" w14:textId="77777777" w:rsidR="00901AFE" w:rsidRPr="00F118CE" w:rsidRDefault="00901AFE" w:rsidP="00C249AB">
            <w:r w:rsidRPr="00F118CE">
              <w:t>Deputy Leader of the Opposition</w:t>
            </w:r>
          </w:p>
        </w:tc>
        <w:tc>
          <w:tcPr>
            <w:tcW w:w="2138" w:type="dxa"/>
            <w:vAlign w:val="center"/>
          </w:tcPr>
          <w:p w14:paraId="02E48111" w14:textId="61F74FC8" w:rsidR="00901AFE" w:rsidRPr="009B0002" w:rsidRDefault="00901AFE" w:rsidP="00C249AB">
            <w:pPr>
              <w:jc w:val="center"/>
            </w:pPr>
            <w:r w:rsidRPr="009B0002">
              <w:t>$3</w:t>
            </w:r>
            <w:r w:rsidR="009B0002" w:rsidRPr="009B0002">
              <w:t>8,515</w:t>
            </w:r>
          </w:p>
        </w:tc>
        <w:tc>
          <w:tcPr>
            <w:tcW w:w="1600" w:type="dxa"/>
            <w:vAlign w:val="center"/>
          </w:tcPr>
          <w:p w14:paraId="133820DA" w14:textId="77777777" w:rsidR="00901AFE" w:rsidRPr="009B0002" w:rsidRDefault="00901AFE" w:rsidP="00C249AB">
            <w:pPr>
              <w:jc w:val="center"/>
            </w:pPr>
            <w:r w:rsidRPr="009B0002">
              <w:t>(20%)</w:t>
            </w:r>
          </w:p>
        </w:tc>
        <w:tc>
          <w:tcPr>
            <w:tcW w:w="1790" w:type="dxa"/>
            <w:vAlign w:val="center"/>
          </w:tcPr>
          <w:p w14:paraId="6B50FD19" w14:textId="1E51FA25" w:rsidR="00901AFE" w:rsidRPr="009B0002" w:rsidRDefault="00901AFE" w:rsidP="00C249AB">
            <w:pPr>
              <w:jc w:val="center"/>
            </w:pPr>
            <w:r w:rsidRPr="009B0002">
              <w:t>$2</w:t>
            </w:r>
            <w:r w:rsidR="009B0002" w:rsidRPr="009B0002">
              <w:t>31,089</w:t>
            </w:r>
          </w:p>
        </w:tc>
      </w:tr>
      <w:tr w:rsidR="00901AFE" w:rsidRPr="00F118CE" w14:paraId="0EF22014" w14:textId="77777777" w:rsidTr="00C249AB">
        <w:tc>
          <w:tcPr>
            <w:tcW w:w="2552" w:type="dxa"/>
          </w:tcPr>
          <w:p w14:paraId="3A714684" w14:textId="77777777" w:rsidR="00901AFE" w:rsidRPr="00F118CE" w:rsidRDefault="00901AFE" w:rsidP="00C249AB">
            <w:r w:rsidRPr="00F118CE">
              <w:t>Deputy Presiding Officer</w:t>
            </w:r>
          </w:p>
        </w:tc>
        <w:tc>
          <w:tcPr>
            <w:tcW w:w="2138" w:type="dxa"/>
            <w:vAlign w:val="center"/>
          </w:tcPr>
          <w:p w14:paraId="26AAFD23" w14:textId="29B7D868" w:rsidR="00901AFE" w:rsidRPr="009B0002" w:rsidRDefault="00901AFE" w:rsidP="00C249AB">
            <w:pPr>
              <w:jc w:val="center"/>
            </w:pPr>
            <w:r w:rsidRPr="009B0002">
              <w:t>$28,</w:t>
            </w:r>
            <w:r w:rsidR="009B0002" w:rsidRPr="009B0002">
              <w:t>886</w:t>
            </w:r>
          </w:p>
        </w:tc>
        <w:tc>
          <w:tcPr>
            <w:tcW w:w="1600" w:type="dxa"/>
            <w:vAlign w:val="center"/>
          </w:tcPr>
          <w:p w14:paraId="08BDF0A0" w14:textId="77777777" w:rsidR="00901AFE" w:rsidRPr="009B0002" w:rsidRDefault="00901AFE" w:rsidP="00C249AB">
            <w:pPr>
              <w:jc w:val="center"/>
            </w:pPr>
            <w:r w:rsidRPr="009B0002">
              <w:t>(15%)</w:t>
            </w:r>
          </w:p>
        </w:tc>
        <w:tc>
          <w:tcPr>
            <w:tcW w:w="1790" w:type="dxa"/>
            <w:vAlign w:val="center"/>
          </w:tcPr>
          <w:p w14:paraId="79C4D37B" w14:textId="6A4F10AC" w:rsidR="00901AFE" w:rsidRPr="009B0002" w:rsidRDefault="00901AFE" w:rsidP="00C249AB">
            <w:pPr>
              <w:jc w:val="center"/>
            </w:pPr>
            <w:r w:rsidRPr="009B0002">
              <w:t>$2</w:t>
            </w:r>
            <w:r w:rsidR="009B0002" w:rsidRPr="009B0002">
              <w:t>21,460</w:t>
            </w:r>
          </w:p>
        </w:tc>
      </w:tr>
      <w:tr w:rsidR="009B0002" w:rsidRPr="00F118CE" w14:paraId="58582295" w14:textId="77777777" w:rsidTr="00C249AB">
        <w:trPr>
          <w:trHeight w:val="625"/>
        </w:trPr>
        <w:tc>
          <w:tcPr>
            <w:tcW w:w="2552" w:type="dxa"/>
            <w:vAlign w:val="center"/>
          </w:tcPr>
          <w:p w14:paraId="79C5659F" w14:textId="77777777" w:rsidR="009B0002" w:rsidRPr="00F118CE" w:rsidRDefault="009B0002" w:rsidP="009B0002">
            <w:r w:rsidRPr="00F118CE">
              <w:t>Government Whip</w:t>
            </w:r>
          </w:p>
        </w:tc>
        <w:tc>
          <w:tcPr>
            <w:tcW w:w="2138" w:type="dxa"/>
            <w:vAlign w:val="center"/>
          </w:tcPr>
          <w:p w14:paraId="24D8741B" w14:textId="39614174" w:rsidR="009B0002" w:rsidRPr="0085002F" w:rsidRDefault="009B0002" w:rsidP="009B0002">
            <w:pPr>
              <w:jc w:val="center"/>
              <w:rPr>
                <w:highlight w:val="yellow"/>
              </w:rPr>
            </w:pPr>
            <w:r w:rsidRPr="009B0002">
              <w:t>$19,258</w:t>
            </w:r>
          </w:p>
        </w:tc>
        <w:tc>
          <w:tcPr>
            <w:tcW w:w="1600" w:type="dxa"/>
            <w:vAlign w:val="center"/>
          </w:tcPr>
          <w:p w14:paraId="1EEB06A7" w14:textId="49CD77ED" w:rsidR="009B0002" w:rsidRPr="0085002F" w:rsidRDefault="009B0002" w:rsidP="009B0002">
            <w:pPr>
              <w:jc w:val="center"/>
              <w:rPr>
                <w:highlight w:val="yellow"/>
              </w:rPr>
            </w:pPr>
            <w:r w:rsidRPr="009B0002">
              <w:t>(10%)</w:t>
            </w:r>
          </w:p>
        </w:tc>
        <w:tc>
          <w:tcPr>
            <w:tcW w:w="1790" w:type="dxa"/>
            <w:vAlign w:val="center"/>
          </w:tcPr>
          <w:p w14:paraId="396AFC26" w14:textId="16B535BD" w:rsidR="009B0002" w:rsidRPr="0085002F" w:rsidRDefault="009B0002" w:rsidP="009B0002">
            <w:pPr>
              <w:jc w:val="center"/>
              <w:rPr>
                <w:highlight w:val="yellow"/>
              </w:rPr>
            </w:pPr>
            <w:r w:rsidRPr="009B0002">
              <w:t>$211,832</w:t>
            </w:r>
          </w:p>
        </w:tc>
      </w:tr>
      <w:tr w:rsidR="009B0002" w:rsidRPr="00F118CE" w14:paraId="19C4ECEB" w14:textId="77777777" w:rsidTr="00C249AB">
        <w:trPr>
          <w:trHeight w:val="625"/>
        </w:trPr>
        <w:tc>
          <w:tcPr>
            <w:tcW w:w="2552" w:type="dxa"/>
            <w:vAlign w:val="center"/>
          </w:tcPr>
          <w:p w14:paraId="483393BB" w14:textId="77777777" w:rsidR="009B0002" w:rsidRPr="00F118CE" w:rsidRDefault="009B0002" w:rsidP="009B0002">
            <w:r>
              <w:lastRenderedPageBreak/>
              <w:t>Opposition Whip</w:t>
            </w:r>
          </w:p>
        </w:tc>
        <w:tc>
          <w:tcPr>
            <w:tcW w:w="2138" w:type="dxa"/>
            <w:vAlign w:val="center"/>
          </w:tcPr>
          <w:p w14:paraId="7DB75275" w14:textId="7E47262B" w:rsidR="009B0002" w:rsidRPr="0085002F" w:rsidRDefault="009B0002" w:rsidP="009B0002">
            <w:pPr>
              <w:jc w:val="center"/>
              <w:rPr>
                <w:highlight w:val="yellow"/>
              </w:rPr>
            </w:pPr>
            <w:r w:rsidRPr="009B0002">
              <w:t>$19,258</w:t>
            </w:r>
          </w:p>
        </w:tc>
        <w:tc>
          <w:tcPr>
            <w:tcW w:w="1600" w:type="dxa"/>
            <w:vAlign w:val="center"/>
          </w:tcPr>
          <w:p w14:paraId="7CE3576C" w14:textId="593B46DA" w:rsidR="009B0002" w:rsidRPr="0085002F" w:rsidRDefault="009B0002" w:rsidP="009B0002">
            <w:pPr>
              <w:jc w:val="center"/>
              <w:rPr>
                <w:highlight w:val="yellow"/>
              </w:rPr>
            </w:pPr>
            <w:r w:rsidRPr="009B0002">
              <w:t>(10%)</w:t>
            </w:r>
          </w:p>
        </w:tc>
        <w:tc>
          <w:tcPr>
            <w:tcW w:w="1790" w:type="dxa"/>
            <w:vAlign w:val="center"/>
          </w:tcPr>
          <w:p w14:paraId="389DD36E" w14:textId="49C1041A" w:rsidR="009B0002" w:rsidRPr="0085002F" w:rsidRDefault="009B0002" w:rsidP="009B0002">
            <w:pPr>
              <w:jc w:val="center"/>
              <w:rPr>
                <w:highlight w:val="yellow"/>
              </w:rPr>
            </w:pPr>
            <w:r w:rsidRPr="009B0002">
              <w:t>$211,832</w:t>
            </w:r>
          </w:p>
        </w:tc>
      </w:tr>
      <w:tr w:rsidR="009B0002" w:rsidRPr="00F118CE" w14:paraId="4E0722B3" w14:textId="77777777" w:rsidTr="00C249AB">
        <w:tc>
          <w:tcPr>
            <w:tcW w:w="2552" w:type="dxa"/>
          </w:tcPr>
          <w:p w14:paraId="32C1B190" w14:textId="77777777" w:rsidR="009B0002" w:rsidRPr="00F118CE" w:rsidRDefault="009B0002" w:rsidP="009B0002">
            <w:r>
              <w:t>Whip in the Legislative Assembly of a registered party (other than the party to which the Chief Minister or Leader of the Opposition belongs) if at least 4 members of the Legislative Assembly are members of the party</w:t>
            </w:r>
          </w:p>
        </w:tc>
        <w:tc>
          <w:tcPr>
            <w:tcW w:w="2138" w:type="dxa"/>
            <w:vAlign w:val="center"/>
          </w:tcPr>
          <w:p w14:paraId="4BC5B203" w14:textId="2B194211" w:rsidR="009B0002" w:rsidRPr="0085002F" w:rsidRDefault="009B0002" w:rsidP="009B0002">
            <w:pPr>
              <w:jc w:val="center"/>
              <w:rPr>
                <w:highlight w:val="yellow"/>
              </w:rPr>
            </w:pPr>
            <w:r w:rsidRPr="009B0002">
              <w:t>$19,258</w:t>
            </w:r>
          </w:p>
        </w:tc>
        <w:tc>
          <w:tcPr>
            <w:tcW w:w="1600" w:type="dxa"/>
            <w:vAlign w:val="center"/>
          </w:tcPr>
          <w:p w14:paraId="7A4AE89D" w14:textId="73D6C56F" w:rsidR="009B0002" w:rsidRPr="0085002F" w:rsidRDefault="009B0002" w:rsidP="009B0002">
            <w:pPr>
              <w:jc w:val="center"/>
              <w:rPr>
                <w:highlight w:val="yellow"/>
              </w:rPr>
            </w:pPr>
            <w:r w:rsidRPr="009B0002">
              <w:t>(10%)</w:t>
            </w:r>
          </w:p>
        </w:tc>
        <w:tc>
          <w:tcPr>
            <w:tcW w:w="1790" w:type="dxa"/>
            <w:vAlign w:val="center"/>
          </w:tcPr>
          <w:p w14:paraId="26CAD2D6" w14:textId="54C41B9A" w:rsidR="009B0002" w:rsidRPr="0085002F" w:rsidRDefault="009B0002" w:rsidP="009B0002">
            <w:pPr>
              <w:jc w:val="center"/>
              <w:rPr>
                <w:highlight w:val="yellow"/>
              </w:rPr>
            </w:pPr>
            <w:r w:rsidRPr="009B0002">
              <w:t>$211,832</w:t>
            </w:r>
          </w:p>
        </w:tc>
      </w:tr>
      <w:tr w:rsidR="00901AFE" w:rsidRPr="00F118CE" w14:paraId="647097D1" w14:textId="77777777" w:rsidTr="00C249AB">
        <w:tc>
          <w:tcPr>
            <w:tcW w:w="2552" w:type="dxa"/>
          </w:tcPr>
          <w:p w14:paraId="02CB0765" w14:textId="77777777" w:rsidR="00901AFE" w:rsidRPr="00F118CE" w:rsidRDefault="00901AFE" w:rsidP="00C249AB">
            <w:r w:rsidRPr="00F118CE">
              <w:t>Presiding member of a committee concerned with public affairs</w:t>
            </w:r>
            <w:r>
              <w:t xml:space="preserve"> rather than affairs of the Legislative Assembly</w:t>
            </w:r>
          </w:p>
        </w:tc>
        <w:tc>
          <w:tcPr>
            <w:tcW w:w="2138" w:type="dxa"/>
            <w:vAlign w:val="center"/>
          </w:tcPr>
          <w:p w14:paraId="41E7636A" w14:textId="02B46432" w:rsidR="00901AFE" w:rsidRPr="009B0002" w:rsidRDefault="00901AFE" w:rsidP="00C249AB">
            <w:pPr>
              <w:jc w:val="center"/>
            </w:pPr>
            <w:r w:rsidRPr="009B0002">
              <w:t>$1</w:t>
            </w:r>
            <w:r w:rsidR="009B0002" w:rsidRPr="009B0002">
              <w:t>9,258</w:t>
            </w:r>
          </w:p>
        </w:tc>
        <w:tc>
          <w:tcPr>
            <w:tcW w:w="1600" w:type="dxa"/>
            <w:vAlign w:val="center"/>
          </w:tcPr>
          <w:p w14:paraId="64DDBC6A" w14:textId="77777777" w:rsidR="00901AFE" w:rsidRPr="009B0002" w:rsidRDefault="00901AFE" w:rsidP="00C249AB">
            <w:pPr>
              <w:jc w:val="center"/>
            </w:pPr>
            <w:r w:rsidRPr="009B0002">
              <w:t>(10%)</w:t>
            </w:r>
          </w:p>
        </w:tc>
        <w:tc>
          <w:tcPr>
            <w:tcW w:w="1790" w:type="dxa"/>
            <w:vAlign w:val="center"/>
          </w:tcPr>
          <w:p w14:paraId="2992165C" w14:textId="504C941B" w:rsidR="00901AFE" w:rsidRPr="009B0002" w:rsidRDefault="00901AFE" w:rsidP="00C249AB">
            <w:pPr>
              <w:jc w:val="center"/>
            </w:pPr>
            <w:r w:rsidRPr="009B0002">
              <w:t>$2</w:t>
            </w:r>
            <w:r w:rsidR="009B0002" w:rsidRPr="009B0002">
              <w:t>11,832</w:t>
            </w:r>
          </w:p>
        </w:tc>
      </w:tr>
    </w:tbl>
    <w:p w14:paraId="14455775" w14:textId="77777777" w:rsidR="0069220A" w:rsidRPr="0040603C" w:rsidRDefault="0069220A" w:rsidP="00031CFC">
      <w:pPr>
        <w:pStyle w:val="Heading3"/>
        <w:keepLines w:val="0"/>
        <w:ind w:left="709" w:hanging="709"/>
        <w:rPr>
          <w:rFonts w:cs="Arial"/>
          <w:szCs w:val="26"/>
        </w:rPr>
      </w:pPr>
      <w:r w:rsidRPr="0040603C">
        <w:rPr>
          <w:rFonts w:cs="Arial"/>
          <w:szCs w:val="26"/>
        </w:rPr>
        <w:t>Salary packaging</w:t>
      </w:r>
    </w:p>
    <w:p w14:paraId="4338E897" w14:textId="3F82D9ED" w:rsidR="0069220A" w:rsidRDefault="005E45FF" w:rsidP="0069220A">
      <w:pPr>
        <w:numPr>
          <w:ilvl w:val="1"/>
          <w:numId w:val="4"/>
        </w:numPr>
        <w:tabs>
          <w:tab w:val="clear" w:pos="720"/>
          <w:tab w:val="num" w:pos="0"/>
        </w:tabs>
        <w:spacing w:before="80" w:after="60"/>
        <w:ind w:left="709" w:hanging="709"/>
      </w:pPr>
      <w:r>
        <w:t>A Member may elect to take their base salary and/or their additional annual salary as:</w:t>
      </w:r>
    </w:p>
    <w:p w14:paraId="793FAE76" w14:textId="77777777" w:rsidR="0069220A" w:rsidRDefault="0069220A" w:rsidP="0069220A">
      <w:pPr>
        <w:numPr>
          <w:ilvl w:val="2"/>
          <w:numId w:val="4"/>
        </w:numPr>
        <w:tabs>
          <w:tab w:val="clear" w:pos="720"/>
        </w:tabs>
        <w:spacing w:after="60"/>
        <w:ind w:left="1134" w:hanging="436"/>
      </w:pPr>
      <w:r w:rsidRPr="00BF6FC8">
        <w:t>salary</w:t>
      </w:r>
      <w:r>
        <w:t>;</w:t>
      </w:r>
      <w:r w:rsidRPr="00BF6FC8">
        <w:t xml:space="preserve"> or </w:t>
      </w:r>
    </w:p>
    <w:p w14:paraId="1B14DB42" w14:textId="77777777" w:rsidR="0069220A" w:rsidRPr="00BF6FC8" w:rsidRDefault="0069220A" w:rsidP="0069220A">
      <w:pPr>
        <w:numPr>
          <w:ilvl w:val="2"/>
          <w:numId w:val="4"/>
        </w:numPr>
        <w:tabs>
          <w:tab w:val="clear" w:pos="720"/>
        </w:tabs>
        <w:spacing w:after="60"/>
        <w:ind w:left="1134" w:hanging="436"/>
      </w:pPr>
      <w:r w:rsidRPr="00BF6FC8">
        <w:t>a combination of salary and other benefits</w:t>
      </w:r>
      <w:r>
        <w:t xml:space="preserve"> (</w:t>
      </w:r>
      <w:r w:rsidRPr="00B93392">
        <w:t xml:space="preserve">a </w:t>
      </w:r>
      <w:r>
        <w:rPr>
          <w:b/>
          <w:i/>
        </w:rPr>
        <w:t>salary package</w:t>
      </w:r>
      <w:r>
        <w:t>)</w:t>
      </w:r>
      <w:r w:rsidRPr="00BF6FC8">
        <w:t>.</w:t>
      </w:r>
    </w:p>
    <w:p w14:paraId="5ACE545A" w14:textId="77777777" w:rsidR="005E45FF" w:rsidRDefault="0069220A" w:rsidP="005E45FF">
      <w:pPr>
        <w:keepNext/>
        <w:keepLines/>
        <w:numPr>
          <w:ilvl w:val="1"/>
          <w:numId w:val="4"/>
        </w:numPr>
        <w:tabs>
          <w:tab w:val="clear" w:pos="720"/>
          <w:tab w:val="num" w:pos="0"/>
        </w:tabs>
        <w:spacing w:before="80" w:after="60"/>
        <w:ind w:left="709" w:hanging="709"/>
      </w:pPr>
      <w:r>
        <w:t>Salary packaging must</w:t>
      </w:r>
      <w:r w:rsidRPr="00BF6FC8">
        <w:t xml:space="preserve"> be</w:t>
      </w:r>
      <w:r>
        <w:t xml:space="preserve"> </w:t>
      </w:r>
      <w:r w:rsidRPr="00BF6FC8">
        <w:t>consistent with</w:t>
      </w:r>
      <w:r w:rsidR="005E45FF">
        <w:t xml:space="preserve"> </w:t>
      </w:r>
      <w:r w:rsidRPr="00BF6FC8">
        <w:t>taxation laws and guidelines issued by</w:t>
      </w:r>
      <w:r>
        <w:t xml:space="preserve"> the Australian Taxation Office</w:t>
      </w:r>
      <w:r w:rsidR="005E45FF">
        <w:t>.</w:t>
      </w:r>
    </w:p>
    <w:p w14:paraId="2654BA64" w14:textId="72DB7E41" w:rsidR="0069220A" w:rsidRPr="005C2122" w:rsidRDefault="005E45FF" w:rsidP="005E45FF">
      <w:pPr>
        <w:keepNext/>
        <w:keepLines/>
        <w:numPr>
          <w:ilvl w:val="1"/>
          <w:numId w:val="4"/>
        </w:numPr>
        <w:tabs>
          <w:tab w:val="clear" w:pos="720"/>
          <w:tab w:val="num" w:pos="0"/>
        </w:tabs>
        <w:spacing w:before="80" w:after="60"/>
        <w:ind w:left="709" w:hanging="709"/>
      </w:pPr>
      <w:r>
        <w:t>U</w:t>
      </w:r>
      <w:r w:rsidR="0069220A" w:rsidRPr="005C2122">
        <w:t xml:space="preserve">p to 100% of remuneration </w:t>
      </w:r>
      <w:r>
        <w:t xml:space="preserve">can be </w:t>
      </w:r>
      <w:r w:rsidR="0069220A" w:rsidRPr="005C2122">
        <w:t xml:space="preserve">taken as benefits and related costs </w:t>
      </w:r>
      <w:r w:rsidR="0069220A">
        <w:t>such as</w:t>
      </w:r>
      <w:r w:rsidR="0069220A" w:rsidRPr="005C2122">
        <w:t xml:space="preserve"> </w:t>
      </w:r>
      <w:r w:rsidR="0069220A">
        <w:t>f</w:t>
      </w:r>
      <w:r w:rsidR="0069220A" w:rsidRPr="005C2122">
        <w:t xml:space="preserve">ringe </w:t>
      </w:r>
      <w:r w:rsidR="0069220A">
        <w:t>b</w:t>
      </w:r>
      <w:r w:rsidR="0069220A" w:rsidRPr="005C2122">
        <w:t xml:space="preserve">enefits </w:t>
      </w:r>
      <w:r w:rsidR="0069220A">
        <w:t>t</w:t>
      </w:r>
      <w:r w:rsidR="0069220A" w:rsidRPr="005C2122">
        <w:t xml:space="preserve">ax. </w:t>
      </w:r>
    </w:p>
    <w:p w14:paraId="1B7F5B0F" w14:textId="484B32E7" w:rsidR="0069220A" w:rsidRDefault="0069220A" w:rsidP="0069220A">
      <w:pPr>
        <w:numPr>
          <w:ilvl w:val="1"/>
          <w:numId w:val="4"/>
        </w:numPr>
        <w:tabs>
          <w:tab w:val="clear" w:pos="720"/>
          <w:tab w:val="num" w:pos="0"/>
        </w:tabs>
        <w:spacing w:before="80" w:after="60"/>
        <w:ind w:left="709" w:hanging="709"/>
      </w:pPr>
      <w:r>
        <w:t>Salary packaging must</w:t>
      </w:r>
      <w:r w:rsidRPr="00BF6FC8">
        <w:t xml:space="preserve"> be administered </w:t>
      </w:r>
      <w:r>
        <w:t xml:space="preserve">without </w:t>
      </w:r>
      <w:r w:rsidRPr="00BF6FC8">
        <w:t xml:space="preserve">additional cost to the </w:t>
      </w:r>
      <w:r w:rsidR="005E45FF">
        <w:t>ACT Government</w:t>
      </w:r>
      <w:r>
        <w:t xml:space="preserve"> and</w:t>
      </w:r>
      <w:r w:rsidRPr="00BF6FC8">
        <w:t xml:space="preserve"> any </w:t>
      </w:r>
      <w:r w:rsidRPr="006368F6">
        <w:t>fringe benefits tax</w:t>
      </w:r>
      <w:r w:rsidRPr="00BF6FC8">
        <w:t xml:space="preserve"> associated with the provision of a benefit </w:t>
      </w:r>
      <w:r>
        <w:t>must</w:t>
      </w:r>
      <w:r w:rsidRPr="00BF6FC8">
        <w:t xml:space="preserve"> be included in the salary package.</w:t>
      </w:r>
    </w:p>
    <w:p w14:paraId="07EC9F10" w14:textId="18BB5C70" w:rsidR="005E45FF" w:rsidRDefault="005E45FF" w:rsidP="0069220A">
      <w:pPr>
        <w:numPr>
          <w:ilvl w:val="1"/>
          <w:numId w:val="4"/>
        </w:numPr>
        <w:tabs>
          <w:tab w:val="clear" w:pos="720"/>
          <w:tab w:val="num" w:pos="0"/>
        </w:tabs>
        <w:spacing w:before="80" w:after="60"/>
        <w:ind w:left="709" w:hanging="709"/>
      </w:pPr>
      <w:r>
        <w:t>The Chief Minister may provide guidelines about the administration of this entitlement for Executive Members.</w:t>
      </w:r>
    </w:p>
    <w:p w14:paraId="2692EC92" w14:textId="4F1A9753" w:rsidR="005E45FF" w:rsidRDefault="005E45FF" w:rsidP="0069220A">
      <w:pPr>
        <w:numPr>
          <w:ilvl w:val="1"/>
          <w:numId w:val="4"/>
        </w:numPr>
        <w:tabs>
          <w:tab w:val="clear" w:pos="720"/>
          <w:tab w:val="num" w:pos="0"/>
        </w:tabs>
        <w:spacing w:before="80" w:after="60"/>
        <w:ind w:left="709" w:hanging="709"/>
      </w:pPr>
      <w:r>
        <w:t>The Presiding Officer may provide guidelines about the administration of this entitlement for non-Executive Members.</w:t>
      </w:r>
    </w:p>
    <w:p w14:paraId="314AAAB7" w14:textId="77777777" w:rsidR="0055096F" w:rsidRPr="00F853F9" w:rsidRDefault="0055096F" w:rsidP="0055096F">
      <w:pPr>
        <w:pStyle w:val="Heading3"/>
        <w:tabs>
          <w:tab w:val="clear" w:pos="720"/>
        </w:tabs>
        <w:spacing w:before="120"/>
        <w:ind w:left="709" w:hanging="709"/>
        <w:rPr>
          <w:rFonts w:cs="Arial"/>
        </w:rPr>
      </w:pPr>
      <w:r w:rsidRPr="00F853F9">
        <w:rPr>
          <w:rFonts w:cs="Arial"/>
        </w:rPr>
        <w:t>Resettlement Allowance</w:t>
      </w:r>
    </w:p>
    <w:p w14:paraId="1883F644" w14:textId="77777777" w:rsidR="0055096F" w:rsidRPr="00060754" w:rsidRDefault="0055096F" w:rsidP="0055096F">
      <w:pPr>
        <w:numPr>
          <w:ilvl w:val="1"/>
          <w:numId w:val="4"/>
        </w:numPr>
        <w:spacing w:before="120" w:after="60"/>
        <w:rPr>
          <w:color w:val="000000" w:themeColor="text1"/>
        </w:rPr>
      </w:pPr>
      <w:r w:rsidRPr="00060754">
        <w:rPr>
          <w:color w:val="000000" w:themeColor="text1"/>
        </w:rPr>
        <w:t xml:space="preserve">All Members are entitled to payment of two weeks’ salary for every completed year of service plus a pro rata payment for completed months of service since the last completed year of continuous service, capped at a maximum of twelve weeks’ salary, if they retire, resign or stand for re-election and are unsuccessful. </w:t>
      </w:r>
    </w:p>
    <w:p w14:paraId="198B42A2" w14:textId="77777777" w:rsidR="0055096F" w:rsidRPr="00060754" w:rsidRDefault="0055096F" w:rsidP="0055096F">
      <w:pPr>
        <w:numPr>
          <w:ilvl w:val="1"/>
          <w:numId w:val="4"/>
        </w:numPr>
        <w:spacing w:before="120" w:after="60"/>
        <w:rPr>
          <w:color w:val="000000" w:themeColor="text1"/>
        </w:rPr>
      </w:pPr>
      <w:r w:rsidRPr="00060754">
        <w:rPr>
          <w:color w:val="000000" w:themeColor="text1"/>
        </w:rPr>
        <w:t>The rate of pay of resettlement allowance will be calculated at the base rate of a Member, viz., without any extra loadings for office holders.</w:t>
      </w:r>
    </w:p>
    <w:p w14:paraId="0E87EF9C" w14:textId="77777777" w:rsidR="0055096F" w:rsidRPr="00F853F9" w:rsidRDefault="0055096F" w:rsidP="0055096F">
      <w:pPr>
        <w:pStyle w:val="Heading3"/>
        <w:tabs>
          <w:tab w:val="clear" w:pos="720"/>
        </w:tabs>
        <w:spacing w:before="120"/>
        <w:ind w:left="709" w:hanging="709"/>
        <w:rPr>
          <w:rFonts w:cs="Arial"/>
        </w:rPr>
      </w:pPr>
      <w:r w:rsidRPr="00F853F9">
        <w:lastRenderedPageBreak/>
        <w:t>Travelling allowance—within Australia</w:t>
      </w:r>
    </w:p>
    <w:p w14:paraId="0FFFF457" w14:textId="77777777" w:rsidR="0055096F" w:rsidRPr="00F853F9" w:rsidRDefault="0055096F" w:rsidP="0055096F">
      <w:pPr>
        <w:numPr>
          <w:ilvl w:val="1"/>
          <w:numId w:val="4"/>
        </w:numPr>
        <w:tabs>
          <w:tab w:val="clear" w:pos="720"/>
        </w:tabs>
        <w:spacing w:before="120" w:after="60"/>
        <w:ind w:left="709" w:hanging="709"/>
      </w:pPr>
      <w:r w:rsidRPr="00F853F9">
        <w:t>In this clause:</w:t>
      </w:r>
    </w:p>
    <w:p w14:paraId="694D57B7" w14:textId="77777777" w:rsidR="0055096F" w:rsidRPr="00F853F9" w:rsidRDefault="0055096F" w:rsidP="0055096F">
      <w:pPr>
        <w:spacing w:before="120" w:after="60"/>
        <w:ind w:left="709"/>
        <w:rPr>
          <w:i/>
        </w:rPr>
      </w:pPr>
      <w:r w:rsidRPr="00F853F9">
        <w:rPr>
          <w:b/>
          <w:i/>
        </w:rPr>
        <w:t>Assembly business</w:t>
      </w:r>
      <w:r w:rsidRPr="00F853F9">
        <w:rPr>
          <w:i/>
        </w:rPr>
        <w:t xml:space="preserve"> </w:t>
      </w:r>
      <w:r w:rsidRPr="00F853F9">
        <w:t>means travel as part of service on an Assembly committee; travel as a representative of the Assembly branch of the Commonwealth Parliamentary Association or as an office holder of the Association; or travel as a representative of the Assembly as determined by the Speaker. It does not include travel for party political purposes.</w:t>
      </w:r>
    </w:p>
    <w:p w14:paraId="572AE477" w14:textId="77777777" w:rsidR="0055096F" w:rsidRPr="00F853F9" w:rsidRDefault="0055096F" w:rsidP="0055096F">
      <w:pPr>
        <w:spacing w:before="120" w:after="60"/>
        <w:ind w:left="709"/>
      </w:pPr>
      <w:r w:rsidRPr="00F853F9">
        <w:rPr>
          <w:b/>
          <w:i/>
        </w:rPr>
        <w:t>commercial accommodation</w:t>
      </w:r>
      <w:r w:rsidRPr="00F853F9">
        <w:t xml:space="preserve"> includes a hotel, motel or serviced apartment.</w:t>
      </w:r>
    </w:p>
    <w:p w14:paraId="238B9308" w14:textId="77777777" w:rsidR="0055096F" w:rsidRPr="00F853F9" w:rsidRDefault="0055096F" w:rsidP="0055096F">
      <w:pPr>
        <w:spacing w:before="120" w:after="60"/>
        <w:ind w:left="709"/>
      </w:pPr>
      <w:r w:rsidRPr="00F853F9">
        <w:rPr>
          <w:b/>
          <w:i/>
        </w:rPr>
        <w:t xml:space="preserve">office holder </w:t>
      </w:r>
      <w:r w:rsidRPr="00F853F9">
        <w:t>means the Chief Minister, Deputy Chief Minister, Minister or Presiding Officer, except where that term is used in the definition of Assembly business to refer to travel as an office holder of the Commonwealth Parliamentary Association.</w:t>
      </w:r>
    </w:p>
    <w:p w14:paraId="3C945FAA" w14:textId="77777777" w:rsidR="0055096F" w:rsidRPr="00F853F9" w:rsidRDefault="0055096F" w:rsidP="0055096F">
      <w:pPr>
        <w:numPr>
          <w:ilvl w:val="1"/>
          <w:numId w:val="4"/>
        </w:numPr>
        <w:tabs>
          <w:tab w:val="clear" w:pos="720"/>
        </w:tabs>
        <w:spacing w:before="120" w:after="60"/>
        <w:ind w:left="709" w:hanging="709"/>
      </w:pPr>
      <w:r w:rsidRPr="00F853F9">
        <w:t>Travelling allowance covers the reasonable cost for travel outside of Canberra and is payable at the rates that correspond with the amounts set out in the relevant Australian Taxation Office Taxation Determination relating to reasonable travel and overtime meal allowance expense amounts for each income year, for:</w:t>
      </w:r>
    </w:p>
    <w:p w14:paraId="2326DAB8" w14:textId="77777777" w:rsidR="0055096F" w:rsidRPr="00F853F9" w:rsidRDefault="0055096F" w:rsidP="0055096F">
      <w:pPr>
        <w:numPr>
          <w:ilvl w:val="2"/>
          <w:numId w:val="4"/>
        </w:numPr>
        <w:tabs>
          <w:tab w:val="clear" w:pos="720"/>
        </w:tabs>
        <w:spacing w:before="120" w:after="60"/>
        <w:ind w:left="1134" w:hanging="436"/>
      </w:pPr>
      <w:r w:rsidRPr="00F853F9">
        <w:t>accommodation; and</w:t>
      </w:r>
    </w:p>
    <w:p w14:paraId="24A19625" w14:textId="77777777" w:rsidR="0055096F" w:rsidRPr="00F853F9" w:rsidRDefault="0055096F" w:rsidP="0055096F">
      <w:pPr>
        <w:numPr>
          <w:ilvl w:val="2"/>
          <w:numId w:val="4"/>
        </w:numPr>
        <w:tabs>
          <w:tab w:val="clear" w:pos="720"/>
        </w:tabs>
        <w:spacing w:before="120" w:after="60"/>
        <w:ind w:left="1134" w:hanging="436"/>
      </w:pPr>
      <w:r w:rsidRPr="00F853F9">
        <w:t xml:space="preserve">meals; and </w:t>
      </w:r>
    </w:p>
    <w:p w14:paraId="6609BFFD" w14:textId="77777777" w:rsidR="0055096F" w:rsidRPr="00F853F9" w:rsidRDefault="0055096F" w:rsidP="0055096F">
      <w:pPr>
        <w:numPr>
          <w:ilvl w:val="2"/>
          <w:numId w:val="4"/>
        </w:numPr>
        <w:tabs>
          <w:tab w:val="clear" w:pos="720"/>
        </w:tabs>
        <w:spacing w:before="120" w:after="60"/>
        <w:ind w:left="1134" w:hanging="436"/>
      </w:pPr>
      <w:r w:rsidRPr="00F853F9">
        <w:t xml:space="preserve">incidental expenses.  </w:t>
      </w:r>
    </w:p>
    <w:p w14:paraId="1F172FBE" w14:textId="77777777" w:rsidR="0055096F" w:rsidRPr="00F853F9" w:rsidRDefault="0055096F" w:rsidP="0055096F">
      <w:pPr>
        <w:numPr>
          <w:ilvl w:val="1"/>
          <w:numId w:val="4"/>
        </w:numPr>
        <w:tabs>
          <w:tab w:val="clear" w:pos="720"/>
        </w:tabs>
        <w:spacing w:before="120" w:after="60"/>
        <w:ind w:left="709" w:hanging="709"/>
      </w:pPr>
      <w:r w:rsidRPr="00F853F9">
        <w:t>Travelling allowance is payable if a Member must stay overnight:</w:t>
      </w:r>
    </w:p>
    <w:p w14:paraId="578F55E7" w14:textId="77777777" w:rsidR="0055096F" w:rsidRPr="00F853F9" w:rsidRDefault="0055096F" w:rsidP="0055096F">
      <w:pPr>
        <w:numPr>
          <w:ilvl w:val="2"/>
          <w:numId w:val="4"/>
        </w:numPr>
        <w:tabs>
          <w:tab w:val="clear" w:pos="720"/>
        </w:tabs>
        <w:spacing w:before="120" w:after="60"/>
        <w:ind w:left="1134" w:hanging="436"/>
      </w:pPr>
      <w:r w:rsidRPr="00F853F9">
        <w:t>on Assembly business; or</w:t>
      </w:r>
    </w:p>
    <w:p w14:paraId="30DF5C81" w14:textId="77777777" w:rsidR="0055096F" w:rsidRPr="00F853F9" w:rsidRDefault="0055096F" w:rsidP="0055096F">
      <w:pPr>
        <w:numPr>
          <w:ilvl w:val="2"/>
          <w:numId w:val="4"/>
        </w:numPr>
        <w:tabs>
          <w:tab w:val="clear" w:pos="720"/>
        </w:tabs>
        <w:spacing w:before="120" w:after="60"/>
        <w:ind w:left="1134" w:hanging="436"/>
      </w:pPr>
      <w:r w:rsidRPr="00F853F9">
        <w:t>for an office holder — on official business as an office holder; or</w:t>
      </w:r>
    </w:p>
    <w:p w14:paraId="03EC95B0" w14:textId="77777777" w:rsidR="0055096F" w:rsidRPr="00F853F9" w:rsidRDefault="0055096F" w:rsidP="0055096F">
      <w:pPr>
        <w:numPr>
          <w:ilvl w:val="2"/>
          <w:numId w:val="4"/>
        </w:numPr>
        <w:tabs>
          <w:tab w:val="clear" w:pos="720"/>
        </w:tabs>
        <w:spacing w:before="120" w:after="60"/>
        <w:ind w:left="1134" w:hanging="436"/>
      </w:pPr>
      <w:r w:rsidRPr="00F853F9">
        <w:t>for a Me</w:t>
      </w:r>
      <w:r w:rsidRPr="00F853F9">
        <w:rPr>
          <w:iCs/>
        </w:rPr>
        <w:t xml:space="preserve">mber other than an office holder </w:t>
      </w:r>
      <w:r w:rsidRPr="00F853F9">
        <w:rPr>
          <w:bCs/>
        </w:rPr>
        <w:t xml:space="preserve">— </w:t>
      </w:r>
      <w:r w:rsidRPr="00F853F9">
        <w:rPr>
          <w:iCs/>
        </w:rPr>
        <w:t>on official business on behalf of an office holder.</w:t>
      </w:r>
    </w:p>
    <w:p w14:paraId="263725BB" w14:textId="77777777" w:rsidR="0055096F" w:rsidRPr="00F853F9" w:rsidRDefault="0055096F" w:rsidP="0055096F">
      <w:pPr>
        <w:numPr>
          <w:ilvl w:val="1"/>
          <w:numId w:val="4"/>
        </w:numPr>
        <w:spacing w:before="120" w:after="60"/>
      </w:pPr>
      <w:r w:rsidRPr="00F853F9">
        <w:rPr>
          <w:iCs/>
        </w:rPr>
        <w:t xml:space="preserve">Travelling allowance is not payable for travel for party political purposes. </w:t>
      </w:r>
    </w:p>
    <w:p w14:paraId="2CAF3187" w14:textId="77777777" w:rsidR="0055096F" w:rsidRPr="00F853F9" w:rsidRDefault="0055096F" w:rsidP="0055096F">
      <w:pPr>
        <w:numPr>
          <w:ilvl w:val="1"/>
          <w:numId w:val="4"/>
        </w:numPr>
        <w:tabs>
          <w:tab w:val="clear" w:pos="720"/>
        </w:tabs>
        <w:spacing w:before="120" w:after="60"/>
        <w:ind w:left="709" w:hanging="709"/>
      </w:pPr>
      <w:r w:rsidRPr="00F853F9">
        <w:t>An office holder or a Member nominated by the Chief Minister to represent an office holder on official business is entitled to an additional travelling allowance to cover the actual costs of accommodation, meals and incidental expenses up to the value that the office holder would have received, if:</w:t>
      </w:r>
    </w:p>
    <w:p w14:paraId="580BE387" w14:textId="77777777" w:rsidR="0055096F" w:rsidRPr="00F853F9" w:rsidRDefault="0055096F" w:rsidP="0055096F">
      <w:pPr>
        <w:numPr>
          <w:ilvl w:val="2"/>
          <w:numId w:val="4"/>
        </w:numPr>
        <w:tabs>
          <w:tab w:val="clear" w:pos="720"/>
        </w:tabs>
        <w:spacing w:before="120" w:after="60"/>
        <w:ind w:left="1134" w:hanging="436"/>
      </w:pPr>
      <w:r w:rsidRPr="00F853F9">
        <w:t>it is appropriate and reasonable for the conduct of the official business for the person to stay in accommodation at the same location where a meeting is held, or nearby to where a meeting is held; or</w:t>
      </w:r>
    </w:p>
    <w:p w14:paraId="5B24A9ED" w14:textId="77777777" w:rsidR="0055096F" w:rsidRPr="00F853F9" w:rsidRDefault="0055096F" w:rsidP="0055096F">
      <w:pPr>
        <w:numPr>
          <w:ilvl w:val="2"/>
          <w:numId w:val="4"/>
        </w:numPr>
        <w:tabs>
          <w:tab w:val="clear" w:pos="720"/>
        </w:tabs>
        <w:spacing w:before="120" w:after="60"/>
        <w:ind w:left="1134" w:hanging="436"/>
      </w:pPr>
      <w:r w:rsidRPr="00F853F9">
        <w:t>it is appropriate and reasonable for the conduct of the official business for the person to stay in accommodation with other participants of a meeting; or</w:t>
      </w:r>
    </w:p>
    <w:p w14:paraId="2897DAEA" w14:textId="77777777" w:rsidR="0055096F" w:rsidRPr="00F853F9" w:rsidRDefault="0055096F" w:rsidP="0055096F">
      <w:pPr>
        <w:numPr>
          <w:ilvl w:val="2"/>
          <w:numId w:val="4"/>
        </w:numPr>
        <w:tabs>
          <w:tab w:val="clear" w:pos="720"/>
        </w:tabs>
        <w:spacing w:before="120" w:after="60"/>
        <w:ind w:left="1134" w:hanging="436"/>
      </w:pPr>
      <w:r w:rsidRPr="00F853F9">
        <w:t xml:space="preserve">the person is required to stay in commercial accommodation nominated by the host jurisdiction or host organisation; or </w:t>
      </w:r>
    </w:p>
    <w:p w14:paraId="64B61979" w14:textId="77777777" w:rsidR="0055096F" w:rsidRPr="00F853F9" w:rsidRDefault="0055096F" w:rsidP="0055096F">
      <w:pPr>
        <w:numPr>
          <w:ilvl w:val="2"/>
          <w:numId w:val="4"/>
        </w:numPr>
        <w:tabs>
          <w:tab w:val="clear" w:pos="720"/>
        </w:tabs>
        <w:spacing w:before="120" w:after="60"/>
        <w:ind w:left="1134" w:hanging="436"/>
      </w:pPr>
      <w:r w:rsidRPr="00F853F9">
        <w:t>there are exceptional circumstances.</w:t>
      </w:r>
    </w:p>
    <w:p w14:paraId="38FC2853" w14:textId="77777777" w:rsidR="0055096F" w:rsidRPr="00F853F9" w:rsidRDefault="0055096F" w:rsidP="0055096F">
      <w:pPr>
        <w:numPr>
          <w:ilvl w:val="1"/>
          <w:numId w:val="4"/>
        </w:numPr>
        <w:tabs>
          <w:tab w:val="clear" w:pos="720"/>
        </w:tabs>
        <w:spacing w:before="120" w:after="60"/>
        <w:ind w:left="709" w:hanging="709"/>
      </w:pPr>
      <w:r w:rsidRPr="00F853F9">
        <w:t xml:space="preserve">If a Member travelling on Assembly or official business does not stay in commercial accommodation, the travelling allowance is a rate of one third of the total daily rate </w:t>
      </w:r>
      <w:r w:rsidRPr="00F853F9">
        <w:lastRenderedPageBreak/>
        <w:t>in the relevant Australian Taxation Office Taxation Determination, rounded upwards to the nearest dollar.</w:t>
      </w:r>
    </w:p>
    <w:p w14:paraId="3CA3CB2C" w14:textId="77777777" w:rsidR="0055096F" w:rsidRPr="00F853F9" w:rsidRDefault="0055096F" w:rsidP="0055096F">
      <w:pPr>
        <w:pStyle w:val="Heading3"/>
        <w:tabs>
          <w:tab w:val="clear" w:pos="720"/>
        </w:tabs>
        <w:spacing w:before="120"/>
        <w:ind w:left="709" w:hanging="709"/>
        <w:rPr>
          <w:lang w:eastAsia="en-AU"/>
        </w:rPr>
      </w:pPr>
      <w:r w:rsidRPr="00F853F9">
        <w:t>Travelling</w:t>
      </w:r>
      <w:r w:rsidRPr="00F853F9">
        <w:rPr>
          <w:lang w:eastAsia="en-AU"/>
        </w:rPr>
        <w:t xml:space="preserve"> allowance</w:t>
      </w:r>
      <w:r w:rsidRPr="00F853F9">
        <w:t>—</w:t>
      </w:r>
      <w:r w:rsidRPr="00F853F9">
        <w:rPr>
          <w:lang w:eastAsia="en-AU"/>
        </w:rPr>
        <w:t>outside Australia</w:t>
      </w:r>
    </w:p>
    <w:p w14:paraId="72B63AB6" w14:textId="77777777" w:rsidR="0055096F" w:rsidRPr="00F853F9" w:rsidRDefault="0055096F" w:rsidP="0055096F">
      <w:pPr>
        <w:keepNext/>
        <w:numPr>
          <w:ilvl w:val="1"/>
          <w:numId w:val="4"/>
        </w:numPr>
        <w:tabs>
          <w:tab w:val="clear" w:pos="720"/>
        </w:tabs>
        <w:spacing w:before="120" w:after="60"/>
        <w:ind w:left="709" w:hanging="709"/>
        <w:rPr>
          <w:bCs/>
        </w:rPr>
      </w:pPr>
      <w:r w:rsidRPr="00F853F9">
        <w:t>A Member who travels overseas on office holder or Assembly business may:</w:t>
      </w:r>
    </w:p>
    <w:p w14:paraId="53F74F41" w14:textId="77777777" w:rsidR="0055096F" w:rsidRPr="00F853F9" w:rsidRDefault="0055096F" w:rsidP="0055096F">
      <w:pPr>
        <w:numPr>
          <w:ilvl w:val="2"/>
          <w:numId w:val="4"/>
        </w:numPr>
        <w:tabs>
          <w:tab w:val="clear" w:pos="720"/>
        </w:tabs>
        <w:spacing w:before="120" w:after="60"/>
        <w:ind w:left="1134" w:hanging="436"/>
      </w:pPr>
      <w:r w:rsidRPr="00F853F9">
        <w:t xml:space="preserve">be reimbursed the actual, reasonable costs incurred for accommodation and travel expenses up to the amounts as set out in the relevant Australian Taxation Office Taxation Determination; </w:t>
      </w:r>
    </w:p>
    <w:p w14:paraId="51A84342" w14:textId="77777777" w:rsidR="0055096F" w:rsidRPr="00F853F9" w:rsidRDefault="0055096F" w:rsidP="0055096F">
      <w:pPr>
        <w:numPr>
          <w:ilvl w:val="2"/>
          <w:numId w:val="4"/>
        </w:numPr>
        <w:tabs>
          <w:tab w:val="clear" w:pos="720"/>
        </w:tabs>
        <w:spacing w:before="120" w:after="60"/>
        <w:ind w:left="1134" w:hanging="436"/>
      </w:pPr>
      <w:r w:rsidRPr="00F853F9">
        <w:t>be provided with a per diem allowance for meals and incidentals as set out in the relevant Australian Taxation Office Taxation Determination; and</w:t>
      </w:r>
    </w:p>
    <w:p w14:paraId="3F29223A" w14:textId="77777777" w:rsidR="0055096F" w:rsidRPr="00F853F9" w:rsidRDefault="0055096F" w:rsidP="0055096F">
      <w:pPr>
        <w:numPr>
          <w:ilvl w:val="2"/>
          <w:numId w:val="4"/>
        </w:numPr>
        <w:tabs>
          <w:tab w:val="clear" w:pos="720"/>
        </w:tabs>
        <w:spacing w:before="120" w:after="60"/>
        <w:ind w:left="1134" w:hanging="436"/>
      </w:pPr>
      <w:r w:rsidRPr="00F853F9">
        <w:t>be provided a cash advance for anticipated costs for accommodation and  travel costs which must be acquitted within eight weeks of returning to Canberra.</w:t>
      </w:r>
    </w:p>
    <w:p w14:paraId="2812F073" w14:textId="77777777" w:rsidR="0055096F" w:rsidRPr="00F853F9" w:rsidRDefault="0055096F" w:rsidP="0055096F">
      <w:pPr>
        <w:pStyle w:val="Heading3"/>
        <w:tabs>
          <w:tab w:val="clear" w:pos="720"/>
        </w:tabs>
        <w:spacing w:before="120"/>
        <w:ind w:left="709" w:hanging="709"/>
      </w:pPr>
      <w:r w:rsidRPr="00F853F9">
        <w:t>Class of air travel</w:t>
      </w:r>
    </w:p>
    <w:p w14:paraId="799F3C66" w14:textId="77777777" w:rsidR="0055096F" w:rsidRPr="00F853F9" w:rsidRDefault="0055096F" w:rsidP="0055096F">
      <w:pPr>
        <w:numPr>
          <w:ilvl w:val="1"/>
          <w:numId w:val="4"/>
        </w:numPr>
        <w:tabs>
          <w:tab w:val="clear" w:pos="720"/>
        </w:tabs>
        <w:spacing w:before="120" w:after="60"/>
        <w:ind w:left="709" w:hanging="709"/>
      </w:pPr>
      <w:r w:rsidRPr="00F853F9">
        <w:t>Members are entitled to business class air travel when travelling on Assembly or official business.</w:t>
      </w:r>
    </w:p>
    <w:p w14:paraId="6CDCFFFA" w14:textId="77777777" w:rsidR="0055096F" w:rsidRPr="00F853F9" w:rsidRDefault="0055096F" w:rsidP="0055096F">
      <w:pPr>
        <w:numPr>
          <w:ilvl w:val="1"/>
          <w:numId w:val="4"/>
        </w:numPr>
        <w:tabs>
          <w:tab w:val="clear" w:pos="720"/>
        </w:tabs>
        <w:spacing w:before="120" w:after="60"/>
        <w:ind w:left="709" w:hanging="709"/>
      </w:pPr>
      <w:r w:rsidRPr="00F853F9">
        <w:t>Members are provided with one airline lounge membership of their choice.</w:t>
      </w:r>
    </w:p>
    <w:p w14:paraId="7554FB73" w14:textId="77777777" w:rsidR="0055096F" w:rsidRPr="00F853F9" w:rsidRDefault="0055096F" w:rsidP="0055096F">
      <w:pPr>
        <w:numPr>
          <w:ilvl w:val="1"/>
          <w:numId w:val="4"/>
        </w:numPr>
        <w:tabs>
          <w:tab w:val="clear" w:pos="720"/>
        </w:tabs>
        <w:spacing w:before="120" w:after="60"/>
        <w:ind w:left="709" w:hanging="709"/>
      </w:pPr>
      <w:r w:rsidRPr="00F853F9">
        <w:t>The Chief Minister may provide guidelines about the administration of all travel entitlements for Executive Members contained in this Determination.</w:t>
      </w:r>
    </w:p>
    <w:p w14:paraId="583F5EB1" w14:textId="77777777" w:rsidR="0055096F" w:rsidRPr="00F853F9" w:rsidRDefault="0055096F" w:rsidP="0055096F">
      <w:pPr>
        <w:numPr>
          <w:ilvl w:val="1"/>
          <w:numId w:val="4"/>
        </w:numPr>
        <w:tabs>
          <w:tab w:val="clear" w:pos="720"/>
        </w:tabs>
        <w:spacing w:before="120" w:after="60"/>
        <w:ind w:left="709" w:hanging="709"/>
      </w:pPr>
      <w:r w:rsidRPr="00F853F9">
        <w:t>The Presiding Officer may provide guidelines about the administration of all travel entitlements for non-Executive Members contained in this Determination.</w:t>
      </w:r>
    </w:p>
    <w:p w14:paraId="12208625" w14:textId="77777777" w:rsidR="0055096F" w:rsidRPr="00F853F9" w:rsidRDefault="0055096F" w:rsidP="0055096F">
      <w:pPr>
        <w:pStyle w:val="Heading3"/>
        <w:tabs>
          <w:tab w:val="clear" w:pos="720"/>
        </w:tabs>
        <w:spacing w:before="120"/>
        <w:ind w:left="709" w:hanging="709"/>
      </w:pPr>
      <w:r w:rsidRPr="00F853F9">
        <w:t>Incidental travel in conjunction with Official travel</w:t>
      </w:r>
    </w:p>
    <w:p w14:paraId="04C6E4C1" w14:textId="77777777" w:rsidR="0055096F" w:rsidRPr="00F853F9" w:rsidRDefault="0055096F" w:rsidP="0055096F">
      <w:pPr>
        <w:numPr>
          <w:ilvl w:val="1"/>
          <w:numId w:val="4"/>
        </w:numPr>
        <w:tabs>
          <w:tab w:val="clear" w:pos="720"/>
        </w:tabs>
        <w:spacing w:before="120" w:after="60"/>
        <w:ind w:left="709" w:hanging="709"/>
      </w:pPr>
      <w:r w:rsidRPr="00F853F9">
        <w:t xml:space="preserve">The Tribunal notes that there is a practice whereby Members travelling on official business have been permitted to include incidental travel in such trips at no additional cost to the Territory.  </w:t>
      </w:r>
    </w:p>
    <w:p w14:paraId="5D427323" w14:textId="77777777" w:rsidR="0055096F" w:rsidRPr="00F853F9" w:rsidRDefault="0055096F" w:rsidP="0055096F">
      <w:pPr>
        <w:numPr>
          <w:ilvl w:val="1"/>
          <w:numId w:val="4"/>
        </w:numPr>
        <w:tabs>
          <w:tab w:val="clear" w:pos="720"/>
        </w:tabs>
        <w:spacing w:before="120" w:after="60"/>
        <w:ind w:left="709" w:hanging="709"/>
      </w:pPr>
      <w:r w:rsidRPr="00F853F9">
        <w:t>For the avoidance of doubt, the Tribunal determines that Members may combine incidental personal travel with official travel, provided there is no additional cost to the Territory.  If the period of such incidental travel is greater than 40% of the period of official travel, a pro rata contribution must be made to the overall cost of the travel.</w:t>
      </w:r>
    </w:p>
    <w:p w14:paraId="5947FA4D" w14:textId="77777777" w:rsidR="0055096F" w:rsidRPr="00F853F9" w:rsidRDefault="0055096F" w:rsidP="0055096F">
      <w:pPr>
        <w:numPr>
          <w:ilvl w:val="1"/>
          <w:numId w:val="4"/>
        </w:numPr>
        <w:tabs>
          <w:tab w:val="clear" w:pos="720"/>
        </w:tabs>
        <w:spacing w:before="120" w:after="60"/>
        <w:ind w:left="709" w:hanging="709"/>
      </w:pPr>
      <w:r w:rsidRPr="00F853F9">
        <w:t>The Chief Minister may provide guidelines about the administration of this entitlement for Executive Members.</w:t>
      </w:r>
    </w:p>
    <w:p w14:paraId="395A4E17" w14:textId="77777777" w:rsidR="0055096F" w:rsidRPr="00F853F9" w:rsidRDefault="0055096F" w:rsidP="0055096F">
      <w:pPr>
        <w:numPr>
          <w:ilvl w:val="1"/>
          <w:numId w:val="4"/>
        </w:numPr>
        <w:tabs>
          <w:tab w:val="clear" w:pos="720"/>
        </w:tabs>
        <w:spacing w:before="120" w:after="60"/>
        <w:ind w:left="709" w:hanging="709"/>
      </w:pPr>
      <w:r w:rsidRPr="00F853F9">
        <w:t xml:space="preserve">The Clerk may provide guidelines about the administration of this entitlement for non-Executive Members as per the </w:t>
      </w:r>
      <w:r w:rsidRPr="00F853F9">
        <w:rPr>
          <w:i/>
        </w:rPr>
        <w:t>Financial Management Act 1996.</w:t>
      </w:r>
    </w:p>
    <w:p w14:paraId="58729455" w14:textId="77777777" w:rsidR="0055096F" w:rsidRPr="00F853F9" w:rsidRDefault="0055096F" w:rsidP="0055096F">
      <w:pPr>
        <w:pStyle w:val="Heading3"/>
        <w:tabs>
          <w:tab w:val="clear" w:pos="720"/>
        </w:tabs>
        <w:spacing w:before="120"/>
        <w:ind w:left="709" w:hanging="709"/>
      </w:pPr>
      <w:r w:rsidRPr="00F853F9">
        <w:t xml:space="preserve">Motor vehicle </w:t>
      </w:r>
    </w:p>
    <w:p w14:paraId="3EB161C3" w14:textId="77777777" w:rsidR="0055096F" w:rsidRPr="00F853F9" w:rsidRDefault="0055096F" w:rsidP="0055096F">
      <w:pPr>
        <w:numPr>
          <w:ilvl w:val="1"/>
          <w:numId w:val="4"/>
        </w:numPr>
        <w:tabs>
          <w:tab w:val="clear" w:pos="720"/>
        </w:tabs>
        <w:spacing w:before="120" w:after="60"/>
        <w:ind w:left="709" w:hanging="709"/>
      </w:pPr>
      <w:r w:rsidRPr="00F853F9">
        <w:t>All Members are entitled to:</w:t>
      </w:r>
    </w:p>
    <w:p w14:paraId="36004A5C" w14:textId="77777777" w:rsidR="0055096F" w:rsidRPr="000D0DBD" w:rsidRDefault="0055096F" w:rsidP="0055096F">
      <w:pPr>
        <w:numPr>
          <w:ilvl w:val="2"/>
          <w:numId w:val="4"/>
        </w:numPr>
        <w:tabs>
          <w:tab w:val="clear" w:pos="720"/>
        </w:tabs>
        <w:spacing w:before="120" w:after="60"/>
        <w:ind w:left="1134" w:hanging="436"/>
      </w:pPr>
      <w:r w:rsidRPr="000D0DBD">
        <w:t>an allowance of $25,500 per annum (a privately plated motor vehicle will no longer be offered as an option); and</w:t>
      </w:r>
    </w:p>
    <w:p w14:paraId="44318111" w14:textId="3E9EBE45" w:rsidR="0055096F" w:rsidRPr="000D0DBD" w:rsidRDefault="0055096F" w:rsidP="0055096F">
      <w:pPr>
        <w:numPr>
          <w:ilvl w:val="2"/>
          <w:numId w:val="4"/>
        </w:numPr>
        <w:tabs>
          <w:tab w:val="clear" w:pos="720"/>
        </w:tabs>
        <w:spacing w:before="120" w:after="60"/>
        <w:ind w:left="1134" w:hanging="436"/>
      </w:pPr>
      <w:r w:rsidRPr="000D0DBD">
        <w:t>an allowance of $</w:t>
      </w:r>
      <w:r>
        <w:t>3,000</w:t>
      </w:r>
      <w:r w:rsidRPr="000D0DBD">
        <w:t xml:space="preserve"> per annum for taxis/hire cars to travel to and from official functions where private transport may not be appropriate in the interests of workplace safety and/or security; and</w:t>
      </w:r>
    </w:p>
    <w:p w14:paraId="3A313441" w14:textId="77777777" w:rsidR="0055096F" w:rsidRPr="000D0DBD" w:rsidRDefault="0055096F" w:rsidP="0055096F">
      <w:pPr>
        <w:numPr>
          <w:ilvl w:val="2"/>
          <w:numId w:val="4"/>
        </w:numPr>
        <w:tabs>
          <w:tab w:val="clear" w:pos="720"/>
        </w:tabs>
        <w:spacing w:before="120" w:after="60"/>
        <w:ind w:left="1134" w:hanging="436"/>
      </w:pPr>
      <w:r w:rsidRPr="000D0DBD">
        <w:lastRenderedPageBreak/>
        <w:t>a car parking space at or near the Legislative Assembly.</w:t>
      </w:r>
    </w:p>
    <w:p w14:paraId="0CAE7B9B" w14:textId="77777777" w:rsidR="0055096F" w:rsidRPr="00F853F9" w:rsidRDefault="0055096F" w:rsidP="0055096F">
      <w:pPr>
        <w:numPr>
          <w:ilvl w:val="1"/>
          <w:numId w:val="4"/>
        </w:numPr>
        <w:tabs>
          <w:tab w:val="clear" w:pos="720"/>
        </w:tabs>
        <w:spacing w:before="120" w:after="60"/>
        <w:ind w:left="709" w:hanging="709"/>
      </w:pPr>
      <w:r w:rsidRPr="00F853F9">
        <w:t xml:space="preserve">Where a Member already has a vehicle lease in place at the time of this Determination, the lease is able to continue but shall not be renewed. </w:t>
      </w:r>
    </w:p>
    <w:p w14:paraId="1CC8A28E" w14:textId="681EFAC9" w:rsidR="0055096F" w:rsidRPr="00F853F9" w:rsidRDefault="0055096F" w:rsidP="0055096F">
      <w:pPr>
        <w:numPr>
          <w:ilvl w:val="1"/>
          <w:numId w:val="4"/>
        </w:numPr>
        <w:tabs>
          <w:tab w:val="clear" w:pos="720"/>
        </w:tabs>
        <w:spacing w:before="120" w:after="60"/>
        <w:ind w:left="709" w:hanging="709"/>
      </w:pPr>
      <w:r w:rsidRPr="00F853F9">
        <w:t xml:space="preserve">The allowance at 10.1(a) is not payable to Members who have leased vehicles at the time of the determination, until any existing vehicle lease has </w:t>
      </w:r>
      <w:r w:rsidR="00BA2991" w:rsidRPr="00F853F9">
        <w:t>expired,</w:t>
      </w:r>
      <w:r w:rsidRPr="00F853F9">
        <w:t xml:space="preserve"> and the vehicle is surrendered.</w:t>
      </w:r>
    </w:p>
    <w:p w14:paraId="5810F2BB" w14:textId="77777777" w:rsidR="0055096F" w:rsidRPr="00F853F9" w:rsidRDefault="0055096F" w:rsidP="0055096F">
      <w:pPr>
        <w:numPr>
          <w:ilvl w:val="1"/>
          <w:numId w:val="4"/>
        </w:numPr>
        <w:tabs>
          <w:tab w:val="clear" w:pos="720"/>
        </w:tabs>
        <w:spacing w:before="120" w:after="60"/>
        <w:ind w:left="709" w:hanging="709"/>
      </w:pPr>
      <w:r w:rsidRPr="00F853F9">
        <w:t>The Chief Minister may provide guidelines about the administration of this entitlement for Executive Members.</w:t>
      </w:r>
    </w:p>
    <w:p w14:paraId="1D3CE546" w14:textId="77777777" w:rsidR="0055096F" w:rsidRPr="00F853F9" w:rsidRDefault="0055096F" w:rsidP="0055096F">
      <w:pPr>
        <w:numPr>
          <w:ilvl w:val="1"/>
          <w:numId w:val="4"/>
        </w:numPr>
        <w:tabs>
          <w:tab w:val="clear" w:pos="720"/>
        </w:tabs>
        <w:spacing w:before="120" w:after="60"/>
        <w:ind w:left="709" w:hanging="709"/>
      </w:pPr>
      <w:r w:rsidRPr="00F853F9">
        <w:t>The Presiding Officer may provide guidelines about the administration of this entitlement for non-Executive Members.</w:t>
      </w:r>
    </w:p>
    <w:p w14:paraId="44347324" w14:textId="77777777" w:rsidR="0055096F" w:rsidRPr="00F853F9" w:rsidRDefault="0055096F" w:rsidP="0055096F">
      <w:pPr>
        <w:pStyle w:val="Heading3"/>
        <w:spacing w:before="120"/>
      </w:pPr>
      <w:r w:rsidRPr="00F853F9">
        <w:t>Revocation of previous determination</w:t>
      </w:r>
    </w:p>
    <w:p w14:paraId="2B31F536" w14:textId="1F3C3CB5" w:rsidR="0055096F" w:rsidRPr="00F853F9" w:rsidRDefault="0055096F" w:rsidP="0055096F">
      <w:pPr>
        <w:spacing w:before="120" w:after="60"/>
      </w:pPr>
      <w:r w:rsidRPr="00F853F9">
        <w:t>1</w:t>
      </w:r>
      <w:r>
        <w:t>1</w:t>
      </w:r>
      <w:r w:rsidRPr="00F853F9">
        <w:t xml:space="preserve">.1 </w:t>
      </w:r>
      <w:r w:rsidRPr="00F853F9">
        <w:tab/>
      </w:r>
      <w:r w:rsidRPr="00141BF3">
        <w:rPr>
          <w:color w:val="000000" w:themeColor="text1"/>
        </w:rPr>
        <w:t xml:space="preserve">Determination </w:t>
      </w:r>
      <w:r w:rsidR="0085002F">
        <w:rPr>
          <w:color w:val="000000" w:themeColor="text1"/>
        </w:rPr>
        <w:t>5 of 2024</w:t>
      </w:r>
      <w:r w:rsidRPr="00141BF3">
        <w:rPr>
          <w:color w:val="000000" w:themeColor="text1"/>
        </w:rPr>
        <w:t xml:space="preserve"> is revoked</w:t>
      </w:r>
      <w:r w:rsidRPr="00F853F9">
        <w:t>.</w:t>
      </w:r>
    </w:p>
    <w:tbl>
      <w:tblPr>
        <w:tblW w:w="13505" w:type="dxa"/>
        <w:tblLook w:val="04A0" w:firstRow="1" w:lastRow="0" w:firstColumn="1" w:lastColumn="0" w:noHBand="0" w:noVBand="1"/>
      </w:tblPr>
      <w:tblGrid>
        <w:gridCol w:w="4529"/>
        <w:gridCol w:w="4488"/>
        <w:gridCol w:w="41"/>
        <w:gridCol w:w="4447"/>
      </w:tblGrid>
      <w:tr w:rsidR="00A17EE2" w:rsidRPr="006A51E8" w14:paraId="0E045258" w14:textId="77777777" w:rsidTr="00A17EE2">
        <w:tc>
          <w:tcPr>
            <w:tcW w:w="4529" w:type="dxa"/>
          </w:tcPr>
          <w:p w14:paraId="46EDDFC0" w14:textId="77777777" w:rsidR="00A17EE2" w:rsidRPr="000F41B0" w:rsidRDefault="00A17EE2" w:rsidP="0015643A">
            <w:pPr>
              <w:tabs>
                <w:tab w:val="left" w:pos="4253"/>
                <w:tab w:val="left" w:leader="dot" w:pos="8222"/>
              </w:tabs>
              <w:rPr>
                <w:szCs w:val="24"/>
              </w:rPr>
            </w:pPr>
          </w:p>
          <w:p w14:paraId="7D830B07" w14:textId="77777777" w:rsidR="00A17EE2" w:rsidRDefault="00A17EE2" w:rsidP="0015643A">
            <w:pPr>
              <w:tabs>
                <w:tab w:val="left" w:pos="4253"/>
                <w:tab w:val="left" w:pos="7230"/>
                <w:tab w:val="left" w:leader="dot" w:pos="8222"/>
              </w:tabs>
              <w:rPr>
                <w:szCs w:val="24"/>
              </w:rPr>
            </w:pPr>
          </w:p>
          <w:p w14:paraId="02EC48B6" w14:textId="77777777" w:rsidR="00A17EE2" w:rsidRDefault="00A17EE2" w:rsidP="0015643A">
            <w:pPr>
              <w:tabs>
                <w:tab w:val="left" w:pos="4253"/>
                <w:tab w:val="left" w:pos="7230"/>
                <w:tab w:val="left" w:leader="dot" w:pos="8222"/>
              </w:tabs>
              <w:rPr>
                <w:szCs w:val="24"/>
              </w:rPr>
            </w:pPr>
          </w:p>
          <w:p w14:paraId="2EAD94A7" w14:textId="274AFD83" w:rsidR="00A17EE2" w:rsidRPr="000F41B0" w:rsidRDefault="00A17EE2" w:rsidP="0015643A">
            <w:pPr>
              <w:tabs>
                <w:tab w:val="left" w:pos="4253"/>
                <w:tab w:val="left" w:pos="7230"/>
                <w:tab w:val="left" w:leader="dot" w:pos="8222"/>
              </w:tabs>
              <w:rPr>
                <w:szCs w:val="24"/>
              </w:rPr>
            </w:pPr>
            <w:r>
              <w:rPr>
                <w:szCs w:val="24"/>
              </w:rPr>
              <w:t>Ms Sandra Lambert AM</w:t>
            </w:r>
          </w:p>
          <w:p w14:paraId="542CA495" w14:textId="77777777" w:rsidR="00A17EE2" w:rsidRPr="000F41B0" w:rsidRDefault="00A17EE2" w:rsidP="0015643A">
            <w:pPr>
              <w:tabs>
                <w:tab w:val="left" w:pos="7230"/>
              </w:tabs>
              <w:rPr>
                <w:szCs w:val="24"/>
              </w:rPr>
            </w:pPr>
            <w:r>
              <w:rPr>
                <w:szCs w:val="24"/>
              </w:rPr>
              <w:t>C</w:t>
            </w:r>
            <w:r w:rsidRPr="000F41B0">
              <w:rPr>
                <w:szCs w:val="24"/>
              </w:rPr>
              <w:t>hair</w:t>
            </w:r>
          </w:p>
        </w:tc>
        <w:tc>
          <w:tcPr>
            <w:tcW w:w="4488" w:type="dxa"/>
          </w:tcPr>
          <w:p w14:paraId="678DF7E9" w14:textId="77777777" w:rsidR="00A17EE2" w:rsidRDefault="00A17EE2" w:rsidP="0015643A">
            <w:pPr>
              <w:tabs>
                <w:tab w:val="left" w:pos="3059"/>
                <w:tab w:val="left" w:pos="7230"/>
              </w:tabs>
              <w:rPr>
                <w:noProof/>
              </w:rPr>
            </w:pPr>
          </w:p>
          <w:p w14:paraId="7F097FAB" w14:textId="77777777" w:rsidR="00A17EE2" w:rsidRDefault="00A17EE2" w:rsidP="0015643A">
            <w:pPr>
              <w:tabs>
                <w:tab w:val="left" w:pos="3059"/>
                <w:tab w:val="left" w:pos="7230"/>
              </w:tabs>
              <w:rPr>
                <w:noProof/>
              </w:rPr>
            </w:pPr>
          </w:p>
          <w:p w14:paraId="4FB2C0C5" w14:textId="64F1AF1D" w:rsidR="00A17EE2" w:rsidRPr="006A51E8" w:rsidRDefault="00A17EE2" w:rsidP="0015643A">
            <w:pPr>
              <w:tabs>
                <w:tab w:val="left" w:pos="3059"/>
                <w:tab w:val="left" w:pos="7230"/>
              </w:tabs>
            </w:pPr>
          </w:p>
        </w:tc>
        <w:tc>
          <w:tcPr>
            <w:tcW w:w="4488" w:type="dxa"/>
            <w:gridSpan w:val="2"/>
          </w:tcPr>
          <w:p w14:paraId="179A1AD6" w14:textId="77777777" w:rsidR="00A17EE2" w:rsidRPr="006A51E8" w:rsidRDefault="00A17EE2" w:rsidP="0015643A">
            <w:pPr>
              <w:tabs>
                <w:tab w:val="left" w:pos="3059"/>
                <w:tab w:val="left" w:pos="7230"/>
              </w:tabs>
              <w:spacing w:before="120"/>
            </w:pPr>
          </w:p>
        </w:tc>
      </w:tr>
      <w:tr w:rsidR="00A17EE2" w:rsidRPr="006A51E8" w14:paraId="5E13E408" w14:textId="77777777" w:rsidTr="00A17EE2">
        <w:trPr>
          <w:gridAfter w:val="1"/>
          <w:wAfter w:w="4447" w:type="dxa"/>
        </w:trPr>
        <w:tc>
          <w:tcPr>
            <w:tcW w:w="4529" w:type="dxa"/>
          </w:tcPr>
          <w:p w14:paraId="56D7C233" w14:textId="77777777" w:rsidR="00A17EE2" w:rsidRDefault="00A17EE2" w:rsidP="0015643A">
            <w:pPr>
              <w:tabs>
                <w:tab w:val="left" w:pos="4253"/>
                <w:tab w:val="left" w:leader="dot" w:pos="8222"/>
              </w:tabs>
              <w:rPr>
                <w:szCs w:val="24"/>
              </w:rPr>
            </w:pPr>
          </w:p>
          <w:p w14:paraId="67B9449F" w14:textId="77777777" w:rsidR="0085002F" w:rsidRDefault="0085002F" w:rsidP="0015643A">
            <w:pPr>
              <w:tabs>
                <w:tab w:val="left" w:pos="4253"/>
                <w:tab w:val="left" w:leader="dot" w:pos="8222"/>
              </w:tabs>
              <w:rPr>
                <w:szCs w:val="24"/>
              </w:rPr>
            </w:pPr>
          </w:p>
          <w:p w14:paraId="666D76FE" w14:textId="231B41D5" w:rsidR="00A17EE2" w:rsidRPr="000F41B0" w:rsidRDefault="0085002F" w:rsidP="0015643A">
            <w:pPr>
              <w:tabs>
                <w:tab w:val="left" w:pos="4253"/>
                <w:tab w:val="left" w:leader="dot" w:pos="8222"/>
              </w:tabs>
              <w:rPr>
                <w:szCs w:val="24"/>
              </w:rPr>
            </w:pPr>
            <w:r>
              <w:rPr>
                <w:szCs w:val="24"/>
              </w:rPr>
              <w:t>Ms Pam Davoren</w:t>
            </w:r>
            <w:r w:rsidR="00A17EE2">
              <w:rPr>
                <w:szCs w:val="24"/>
              </w:rPr>
              <w:t xml:space="preserve"> PSM</w:t>
            </w:r>
            <w:r w:rsidR="00A17EE2" w:rsidRPr="000F41B0">
              <w:rPr>
                <w:szCs w:val="24"/>
              </w:rPr>
              <w:tab/>
            </w:r>
          </w:p>
          <w:p w14:paraId="107ACFFC" w14:textId="77777777" w:rsidR="00A17EE2" w:rsidRDefault="00A17EE2" w:rsidP="0015643A">
            <w:pPr>
              <w:tabs>
                <w:tab w:val="left" w:pos="4253"/>
                <w:tab w:val="left" w:leader="dot" w:pos="8222"/>
              </w:tabs>
              <w:rPr>
                <w:szCs w:val="24"/>
              </w:rPr>
            </w:pPr>
            <w:r w:rsidRPr="000F41B0">
              <w:rPr>
                <w:szCs w:val="24"/>
              </w:rPr>
              <w:t xml:space="preserve">Member </w:t>
            </w:r>
          </w:p>
          <w:p w14:paraId="7D2DAF1D" w14:textId="77777777" w:rsidR="00A17EE2" w:rsidRDefault="00A17EE2" w:rsidP="0015643A">
            <w:pPr>
              <w:tabs>
                <w:tab w:val="left" w:pos="4253"/>
                <w:tab w:val="left" w:leader="dot" w:pos="8222"/>
              </w:tabs>
              <w:rPr>
                <w:szCs w:val="24"/>
              </w:rPr>
            </w:pPr>
          </w:p>
          <w:p w14:paraId="1CF2A11B" w14:textId="77777777" w:rsidR="0085002F" w:rsidRDefault="0085002F" w:rsidP="0015643A">
            <w:pPr>
              <w:tabs>
                <w:tab w:val="left" w:pos="4253"/>
                <w:tab w:val="left" w:leader="dot" w:pos="8222"/>
              </w:tabs>
              <w:rPr>
                <w:szCs w:val="24"/>
              </w:rPr>
            </w:pPr>
          </w:p>
          <w:p w14:paraId="5CA3F507" w14:textId="77777777" w:rsidR="00A17EE2" w:rsidRPr="000F41B0" w:rsidRDefault="00A17EE2" w:rsidP="0015643A">
            <w:pPr>
              <w:tabs>
                <w:tab w:val="left" w:pos="4253"/>
                <w:tab w:val="left" w:leader="dot" w:pos="8222"/>
              </w:tabs>
              <w:rPr>
                <w:szCs w:val="24"/>
              </w:rPr>
            </w:pPr>
            <w:r>
              <w:rPr>
                <w:szCs w:val="24"/>
              </w:rPr>
              <w:t>Mr Michael Manthorpe PSM FIPAA</w:t>
            </w:r>
            <w:r w:rsidRPr="000F41B0">
              <w:rPr>
                <w:szCs w:val="24"/>
              </w:rPr>
              <w:tab/>
            </w:r>
          </w:p>
          <w:p w14:paraId="18FBF360" w14:textId="77777777" w:rsidR="00A17EE2" w:rsidRPr="000F41B0" w:rsidRDefault="00A17EE2" w:rsidP="0015643A">
            <w:pPr>
              <w:tabs>
                <w:tab w:val="left" w:pos="4253"/>
                <w:tab w:val="left" w:leader="dot" w:pos="8222"/>
              </w:tabs>
              <w:rPr>
                <w:szCs w:val="24"/>
              </w:rPr>
            </w:pPr>
            <w:r w:rsidRPr="000F41B0">
              <w:rPr>
                <w:szCs w:val="24"/>
              </w:rPr>
              <w:t>Member</w:t>
            </w:r>
          </w:p>
        </w:tc>
        <w:tc>
          <w:tcPr>
            <w:tcW w:w="4529" w:type="dxa"/>
            <w:gridSpan w:val="2"/>
          </w:tcPr>
          <w:p w14:paraId="14B45796" w14:textId="4CF6EC7B" w:rsidR="00A17EE2" w:rsidRDefault="00A17EE2" w:rsidP="0015643A">
            <w:pPr>
              <w:tabs>
                <w:tab w:val="left" w:pos="4026"/>
                <w:tab w:val="left" w:pos="7230"/>
              </w:tabs>
            </w:pPr>
          </w:p>
          <w:p w14:paraId="347B2B86" w14:textId="77777777" w:rsidR="00A17EE2" w:rsidRDefault="00A17EE2" w:rsidP="0015643A">
            <w:pPr>
              <w:tabs>
                <w:tab w:val="left" w:pos="4026"/>
                <w:tab w:val="left" w:pos="7230"/>
              </w:tabs>
              <w:rPr>
                <w:noProof/>
              </w:rPr>
            </w:pPr>
          </w:p>
          <w:p w14:paraId="6590C153" w14:textId="498A6319" w:rsidR="00A17EE2" w:rsidRDefault="00A17EE2" w:rsidP="0015643A">
            <w:pPr>
              <w:tabs>
                <w:tab w:val="left" w:pos="4026"/>
                <w:tab w:val="left" w:pos="7230"/>
              </w:tabs>
              <w:rPr>
                <w:noProof/>
              </w:rPr>
            </w:pPr>
          </w:p>
          <w:p w14:paraId="7D5570F4" w14:textId="77777777" w:rsidR="00A17EE2" w:rsidRPr="00920C37" w:rsidRDefault="00A17EE2" w:rsidP="0015643A"/>
          <w:p w14:paraId="51DB3EBF" w14:textId="77777777" w:rsidR="00A17EE2" w:rsidRPr="00920C37" w:rsidRDefault="00A17EE2" w:rsidP="0015643A"/>
          <w:p w14:paraId="6302F3D6" w14:textId="77777777" w:rsidR="00A17EE2" w:rsidRPr="00920C37" w:rsidRDefault="00A17EE2" w:rsidP="0015643A"/>
          <w:p w14:paraId="48C5A71C" w14:textId="77777777" w:rsidR="00A17EE2" w:rsidRDefault="00A17EE2" w:rsidP="0015643A">
            <w:pPr>
              <w:rPr>
                <w:noProof/>
              </w:rPr>
            </w:pPr>
          </w:p>
          <w:p w14:paraId="03513967" w14:textId="5D08A007" w:rsidR="00A17EE2" w:rsidRPr="00920C37" w:rsidRDefault="00A17EE2" w:rsidP="0015643A"/>
        </w:tc>
      </w:tr>
    </w:tbl>
    <w:p w14:paraId="75AA1E85" w14:textId="4C63C6CE" w:rsidR="00A17EE2" w:rsidRDefault="0085002F" w:rsidP="0085002F">
      <w:pPr>
        <w:tabs>
          <w:tab w:val="left" w:pos="204"/>
          <w:tab w:val="left" w:pos="4320"/>
        </w:tabs>
      </w:pPr>
      <w:bookmarkStart w:id="11" w:name="_Hlk90826441"/>
      <w:r>
        <w:tab/>
      </w:r>
    </w:p>
    <w:p w14:paraId="35622CA7" w14:textId="77777777" w:rsidR="00A17EE2" w:rsidRDefault="00A17EE2" w:rsidP="00E7449B">
      <w:pPr>
        <w:tabs>
          <w:tab w:val="left" w:pos="4320"/>
        </w:tabs>
        <w:jc w:val="right"/>
      </w:pPr>
    </w:p>
    <w:p w14:paraId="2A0C385A" w14:textId="30AB28AD" w:rsidR="0055096F" w:rsidRPr="006937F2" w:rsidRDefault="001250F6" w:rsidP="00E7449B">
      <w:pPr>
        <w:tabs>
          <w:tab w:val="left" w:pos="4320"/>
        </w:tabs>
        <w:jc w:val="right"/>
      </w:pPr>
      <w:r>
        <w:t>31</w:t>
      </w:r>
      <w:r w:rsidR="0085002F" w:rsidRPr="00FC2703">
        <w:t xml:space="preserve"> March 2025</w:t>
      </w:r>
      <w:bookmarkEnd w:id="1"/>
      <w:bookmarkEnd w:id="11"/>
    </w:p>
    <w:sectPr w:rsidR="0055096F" w:rsidRPr="006937F2" w:rsidSect="00DD73BE">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8DEA" w14:textId="77777777" w:rsidR="0057785D" w:rsidRDefault="0057785D">
      <w:r>
        <w:separator/>
      </w:r>
    </w:p>
  </w:endnote>
  <w:endnote w:type="continuationSeparator" w:id="0">
    <w:p w14:paraId="30E34CEB" w14:textId="77777777" w:rsidR="0057785D" w:rsidRDefault="0057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AB48" w14:textId="77777777" w:rsidR="00857483" w:rsidRDefault="0085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2292" w14:textId="77777777" w:rsidR="00EE3961" w:rsidRPr="00C420E9" w:rsidRDefault="00EE3961">
    <w:pPr>
      <w:pStyle w:val="Footer"/>
      <w:jc w:val="right"/>
      <w:rPr>
        <w:rFonts w:ascii="Calibri" w:hAnsi="Calibri"/>
      </w:rPr>
    </w:pPr>
    <w:r w:rsidRPr="00C420E9">
      <w:rPr>
        <w:rFonts w:ascii="Calibri" w:hAnsi="Calibri"/>
      </w:rPr>
      <w:fldChar w:fldCharType="begin"/>
    </w:r>
    <w:r w:rsidRPr="00C420E9">
      <w:rPr>
        <w:rFonts w:ascii="Calibri" w:hAnsi="Calibri"/>
      </w:rPr>
      <w:instrText xml:space="preserve"> PAGE   \* MERGEFORMAT </w:instrText>
    </w:r>
    <w:r w:rsidRPr="00C420E9">
      <w:rPr>
        <w:rFonts w:ascii="Calibri" w:hAnsi="Calibri"/>
      </w:rPr>
      <w:fldChar w:fldCharType="separate"/>
    </w:r>
    <w:r w:rsidR="004748CC">
      <w:rPr>
        <w:rFonts w:ascii="Calibri" w:hAnsi="Calibri"/>
        <w:noProof/>
      </w:rPr>
      <w:t>3</w:t>
    </w:r>
    <w:r w:rsidRPr="00C420E9">
      <w:rPr>
        <w:rFonts w:ascii="Calibri" w:hAnsi="Calibri"/>
        <w:noProof/>
      </w:rPr>
      <w:fldChar w:fldCharType="end"/>
    </w:r>
  </w:p>
  <w:p w14:paraId="54CEF88E" w14:textId="77777777" w:rsidR="00EE3961" w:rsidRDefault="00EE3961" w:rsidP="00DC6C6D">
    <w:pPr>
      <w:pStyle w:val="Footer"/>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E2FD" w14:textId="77777777" w:rsidR="00857483" w:rsidRDefault="008574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B9D" w14:textId="77777777" w:rsidR="00EE3961" w:rsidRDefault="00EE3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19E55" w14:textId="77777777" w:rsidR="00EE3961" w:rsidRDefault="00EE396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0177" w14:textId="77777777" w:rsidR="005B466F" w:rsidRPr="000B67A3" w:rsidRDefault="005B466F" w:rsidP="005B466F">
    <w:pPr>
      <w:pStyle w:val="Footer"/>
      <w:jc w:val="right"/>
      <w:rPr>
        <w:rFonts w:ascii="Calibri" w:hAnsi="Calibri"/>
      </w:rPr>
    </w:pPr>
    <w:r w:rsidRPr="000B67A3">
      <w:rPr>
        <w:rFonts w:ascii="Calibri" w:hAnsi="Calibri"/>
      </w:rPr>
      <w:fldChar w:fldCharType="begin"/>
    </w:r>
    <w:r w:rsidRPr="000B67A3">
      <w:rPr>
        <w:rFonts w:ascii="Calibri" w:hAnsi="Calibri"/>
      </w:rPr>
      <w:instrText xml:space="preserve"> PAGE   \* MERGEFORMAT </w:instrText>
    </w:r>
    <w:r w:rsidRPr="000B67A3">
      <w:rPr>
        <w:rFonts w:ascii="Calibri" w:hAnsi="Calibri"/>
      </w:rPr>
      <w:fldChar w:fldCharType="separate"/>
    </w:r>
    <w:r w:rsidR="004748CC">
      <w:rPr>
        <w:rFonts w:ascii="Calibri" w:hAnsi="Calibri"/>
        <w:noProof/>
      </w:rPr>
      <w:t>12</w:t>
    </w:r>
    <w:r w:rsidRPr="000B67A3">
      <w:rPr>
        <w:rFonts w:ascii="Calibri" w:hAnsi="Calibri"/>
        <w:noProof/>
      </w:rPr>
      <w:fldChar w:fldCharType="end"/>
    </w:r>
  </w:p>
  <w:p w14:paraId="514CB8A5" w14:textId="77777777" w:rsidR="00EE3961" w:rsidRDefault="00EE396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F2ED" w14:textId="77777777" w:rsidR="00EE3961" w:rsidRDefault="00EE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70A7" w14:textId="77777777" w:rsidR="0057785D" w:rsidRDefault="0057785D">
      <w:r>
        <w:separator/>
      </w:r>
    </w:p>
  </w:footnote>
  <w:footnote w:type="continuationSeparator" w:id="0">
    <w:p w14:paraId="2059A73F" w14:textId="77777777" w:rsidR="0057785D" w:rsidRDefault="0057785D">
      <w:r>
        <w:continuationSeparator/>
      </w:r>
    </w:p>
  </w:footnote>
  <w:footnote w:id="1">
    <w:p w14:paraId="481EF8E7" w14:textId="77777777" w:rsidR="002D5DBA" w:rsidRPr="00A011DD" w:rsidRDefault="002D5DBA" w:rsidP="002D5DBA">
      <w:pPr>
        <w:pStyle w:val="FootnoteText"/>
        <w:jc w:val="left"/>
        <w:rPr>
          <w:rFonts w:asciiTheme="majorHAnsi" w:hAnsiTheme="majorHAnsi" w:cstheme="majorHAnsi"/>
          <w:sz w:val="16"/>
          <w:szCs w:val="16"/>
        </w:rPr>
      </w:pPr>
      <w:r w:rsidRPr="00A011DD">
        <w:rPr>
          <w:rStyle w:val="FootnoteReference"/>
          <w:rFonts w:asciiTheme="majorHAnsi" w:hAnsiTheme="majorHAnsi" w:cstheme="majorHAnsi"/>
          <w:sz w:val="16"/>
          <w:szCs w:val="16"/>
        </w:rPr>
        <w:footnoteRef/>
      </w:r>
      <w:r w:rsidRPr="00A011DD">
        <w:rPr>
          <w:rFonts w:asciiTheme="majorHAnsi" w:hAnsiTheme="majorHAnsi" w:cstheme="majorHAnsi"/>
          <w:sz w:val="16"/>
          <w:szCs w:val="16"/>
        </w:rPr>
        <w:t xml:space="preserve"> Australian Bureau of Statistics Release 29 January 2025 </w:t>
      </w:r>
      <w:hyperlink r:id="rId1" w:history="1">
        <w:r w:rsidRPr="00A011DD">
          <w:rPr>
            <w:rStyle w:val="Hyperlink"/>
            <w:rFonts w:asciiTheme="majorHAnsi" w:hAnsiTheme="majorHAnsi" w:cstheme="majorHAnsi"/>
            <w:sz w:val="16"/>
            <w:szCs w:val="16"/>
          </w:rPr>
          <w:t>https://www.abs.gov.au/statistics/economy/price-indexes-and-inflation/consumer-price-index-australia/latest-release</w:t>
        </w:r>
      </w:hyperlink>
    </w:p>
  </w:footnote>
  <w:footnote w:id="2">
    <w:p w14:paraId="673F9C91" w14:textId="77777777" w:rsidR="002D5DBA" w:rsidRPr="00A011DD" w:rsidRDefault="002D5DBA" w:rsidP="002D5DBA">
      <w:pPr>
        <w:pStyle w:val="FootnoteText"/>
        <w:jc w:val="left"/>
        <w:rPr>
          <w:rFonts w:asciiTheme="majorHAnsi" w:hAnsiTheme="majorHAnsi" w:cstheme="majorHAnsi"/>
          <w:sz w:val="16"/>
          <w:szCs w:val="16"/>
        </w:rPr>
      </w:pPr>
      <w:r w:rsidRPr="00A011DD">
        <w:rPr>
          <w:rStyle w:val="FootnoteReference"/>
          <w:rFonts w:asciiTheme="majorHAnsi" w:hAnsiTheme="majorHAnsi" w:cstheme="majorHAnsi"/>
          <w:sz w:val="16"/>
          <w:szCs w:val="16"/>
        </w:rPr>
        <w:footnoteRef/>
      </w:r>
      <w:r w:rsidRPr="00A011DD">
        <w:rPr>
          <w:rFonts w:asciiTheme="majorHAnsi" w:hAnsiTheme="majorHAnsi" w:cstheme="majorHAnsi"/>
          <w:sz w:val="16"/>
          <w:szCs w:val="16"/>
        </w:rPr>
        <w:t xml:space="preserve"> ACT Treasury, 29 January 2025, CPI – December Quarter 2024 </w:t>
      </w:r>
      <w:hyperlink r:id="rId2" w:history="1">
        <w:r w:rsidRPr="00A011DD">
          <w:rPr>
            <w:rStyle w:val="Hyperlink"/>
            <w:rFonts w:asciiTheme="majorHAnsi" w:hAnsiTheme="majorHAnsi" w:cstheme="majorHAnsi"/>
            <w:sz w:val="16"/>
            <w:szCs w:val="16"/>
          </w:rPr>
          <w:t>https://www.treasury.act.gov.au/__data/assets/pdf_file/0009/399978/CPI.pdf/_recache</w:t>
        </w:r>
      </w:hyperlink>
      <w:r w:rsidRPr="00A011DD">
        <w:rPr>
          <w:rFonts w:asciiTheme="majorHAnsi" w:hAnsiTheme="majorHAnsi" w:cstheme="majorHAnsi"/>
          <w:sz w:val="16"/>
          <w:szCs w:val="16"/>
        </w:rPr>
        <w:t xml:space="preserve"> </w:t>
      </w:r>
    </w:p>
  </w:footnote>
  <w:footnote w:id="3">
    <w:p w14:paraId="0E666109" w14:textId="77777777" w:rsidR="002D5DBA" w:rsidRPr="00040544" w:rsidRDefault="002D5DBA" w:rsidP="002D5DBA">
      <w:pPr>
        <w:pStyle w:val="FootnoteText"/>
        <w:jc w:val="left"/>
        <w:rPr>
          <w:szCs w:val="12"/>
        </w:rPr>
      </w:pPr>
      <w:r w:rsidRPr="00A011DD">
        <w:rPr>
          <w:rStyle w:val="FootnoteReference"/>
          <w:rFonts w:asciiTheme="majorHAnsi" w:hAnsiTheme="majorHAnsi" w:cstheme="majorHAnsi"/>
          <w:sz w:val="16"/>
          <w:szCs w:val="16"/>
        </w:rPr>
        <w:footnoteRef/>
      </w:r>
      <w:r w:rsidRPr="00A011DD">
        <w:rPr>
          <w:rFonts w:asciiTheme="majorHAnsi" w:hAnsiTheme="majorHAnsi" w:cstheme="majorHAnsi"/>
          <w:sz w:val="16"/>
          <w:szCs w:val="16"/>
        </w:rPr>
        <w:t xml:space="preserve"> Australian Bureau of Statistics Release </w:t>
      </w:r>
      <w:r>
        <w:rPr>
          <w:rFonts w:asciiTheme="majorHAnsi" w:hAnsiTheme="majorHAnsi" w:cstheme="majorHAnsi"/>
          <w:sz w:val="16"/>
          <w:szCs w:val="16"/>
        </w:rPr>
        <w:t>29</w:t>
      </w:r>
      <w:r w:rsidRPr="00A011DD">
        <w:rPr>
          <w:rFonts w:asciiTheme="majorHAnsi" w:hAnsiTheme="majorHAnsi" w:cstheme="majorHAnsi"/>
          <w:sz w:val="16"/>
          <w:szCs w:val="16"/>
        </w:rPr>
        <w:t xml:space="preserve"> January 202</w:t>
      </w:r>
      <w:r>
        <w:rPr>
          <w:rFonts w:asciiTheme="majorHAnsi" w:hAnsiTheme="majorHAnsi" w:cstheme="majorHAnsi"/>
          <w:sz w:val="16"/>
          <w:szCs w:val="16"/>
        </w:rPr>
        <w:t>5</w:t>
      </w:r>
      <w:r w:rsidRPr="00A011DD">
        <w:rPr>
          <w:rFonts w:asciiTheme="majorHAnsi" w:hAnsiTheme="majorHAnsi" w:cstheme="majorHAnsi"/>
          <w:sz w:val="16"/>
          <w:szCs w:val="16"/>
        </w:rPr>
        <w:t xml:space="preserve"> </w:t>
      </w:r>
      <w:hyperlink r:id="rId3" w:history="1">
        <w:r w:rsidRPr="00A011DD">
          <w:rPr>
            <w:rStyle w:val="Hyperlink"/>
            <w:rFonts w:asciiTheme="majorHAnsi" w:hAnsiTheme="majorHAnsi" w:cstheme="majorHAnsi"/>
            <w:sz w:val="16"/>
            <w:szCs w:val="16"/>
          </w:rPr>
          <w:t>https://www.abs.gov.au/statistics/economy/price-indexes-and-inflation/consumer-price-index-australia/latest-release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05E8" w14:textId="39ADB496" w:rsidR="00857483" w:rsidRDefault="0085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543" w14:textId="57F5A719" w:rsidR="00857483" w:rsidRDefault="00857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EAEA" w14:textId="3CD45AD7" w:rsidR="00857483" w:rsidRDefault="008574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B3DC" w14:textId="6C00E5C2" w:rsidR="00EE3961" w:rsidRDefault="00EE39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E010" w14:textId="797B2E9F" w:rsidR="00EE3961" w:rsidRDefault="00EE39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42CA" w14:textId="0618444D" w:rsidR="00EE3961" w:rsidRDefault="00EE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FEC6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6356C"/>
    <w:multiLevelType w:val="hybridMultilevel"/>
    <w:tmpl w:val="5DC48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73F29"/>
    <w:multiLevelType w:val="hybridMultilevel"/>
    <w:tmpl w:val="6E985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23D1DCA"/>
    <w:multiLevelType w:val="hybridMultilevel"/>
    <w:tmpl w:val="FF865844"/>
    <w:lvl w:ilvl="0" w:tplc="4F88AD6A">
      <w:start w:val="1"/>
      <w:numFmt w:val="bullet"/>
      <w:pStyle w:val="Asubparabullet"/>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700"/>
        </w:tabs>
        <w:ind w:left="-700" w:hanging="360"/>
      </w:pPr>
      <w:rPr>
        <w:rFonts w:ascii="Courier New" w:hAnsi="Courier New" w:hint="default"/>
      </w:rPr>
    </w:lvl>
    <w:lvl w:ilvl="2" w:tplc="04090005" w:tentative="1">
      <w:start w:val="1"/>
      <w:numFmt w:val="bullet"/>
      <w:lvlText w:val=""/>
      <w:lvlJc w:val="left"/>
      <w:pPr>
        <w:tabs>
          <w:tab w:val="num" w:pos="20"/>
        </w:tabs>
        <w:ind w:left="20" w:hanging="360"/>
      </w:pPr>
      <w:rPr>
        <w:rFonts w:ascii="Wingdings" w:hAnsi="Wingdings" w:hint="default"/>
      </w:rPr>
    </w:lvl>
    <w:lvl w:ilvl="3" w:tplc="04090001" w:tentative="1">
      <w:start w:val="1"/>
      <w:numFmt w:val="bullet"/>
      <w:lvlText w:val=""/>
      <w:lvlJc w:val="left"/>
      <w:pPr>
        <w:tabs>
          <w:tab w:val="num" w:pos="740"/>
        </w:tabs>
        <w:ind w:left="740" w:hanging="360"/>
      </w:pPr>
      <w:rPr>
        <w:rFonts w:ascii="Symbol" w:hAnsi="Symbol" w:hint="default"/>
      </w:rPr>
    </w:lvl>
    <w:lvl w:ilvl="4" w:tplc="04090003" w:tentative="1">
      <w:start w:val="1"/>
      <w:numFmt w:val="bullet"/>
      <w:lvlText w:val="o"/>
      <w:lvlJc w:val="left"/>
      <w:pPr>
        <w:tabs>
          <w:tab w:val="num" w:pos="1460"/>
        </w:tabs>
        <w:ind w:left="1460" w:hanging="360"/>
      </w:pPr>
      <w:rPr>
        <w:rFonts w:ascii="Courier New" w:hAnsi="Courier New" w:hint="default"/>
      </w:rPr>
    </w:lvl>
    <w:lvl w:ilvl="5" w:tplc="04090005" w:tentative="1">
      <w:start w:val="1"/>
      <w:numFmt w:val="bullet"/>
      <w:lvlText w:val=""/>
      <w:lvlJc w:val="left"/>
      <w:pPr>
        <w:tabs>
          <w:tab w:val="num" w:pos="2180"/>
        </w:tabs>
        <w:ind w:left="2180" w:hanging="360"/>
      </w:pPr>
      <w:rPr>
        <w:rFonts w:ascii="Wingdings" w:hAnsi="Wingdings" w:hint="default"/>
      </w:rPr>
    </w:lvl>
    <w:lvl w:ilvl="6" w:tplc="04090001" w:tentative="1">
      <w:start w:val="1"/>
      <w:numFmt w:val="bullet"/>
      <w:lvlText w:val=""/>
      <w:lvlJc w:val="left"/>
      <w:pPr>
        <w:tabs>
          <w:tab w:val="num" w:pos="2900"/>
        </w:tabs>
        <w:ind w:left="2900" w:hanging="360"/>
      </w:pPr>
      <w:rPr>
        <w:rFonts w:ascii="Symbol" w:hAnsi="Symbol" w:hint="default"/>
      </w:rPr>
    </w:lvl>
    <w:lvl w:ilvl="7" w:tplc="04090003" w:tentative="1">
      <w:start w:val="1"/>
      <w:numFmt w:val="bullet"/>
      <w:lvlText w:val="o"/>
      <w:lvlJc w:val="left"/>
      <w:pPr>
        <w:tabs>
          <w:tab w:val="num" w:pos="3620"/>
        </w:tabs>
        <w:ind w:left="3620" w:hanging="360"/>
      </w:pPr>
      <w:rPr>
        <w:rFonts w:ascii="Courier New" w:hAnsi="Courier New" w:hint="default"/>
      </w:rPr>
    </w:lvl>
    <w:lvl w:ilvl="8" w:tplc="04090005" w:tentative="1">
      <w:start w:val="1"/>
      <w:numFmt w:val="bullet"/>
      <w:lvlText w:val=""/>
      <w:lvlJc w:val="left"/>
      <w:pPr>
        <w:tabs>
          <w:tab w:val="num" w:pos="4340"/>
        </w:tabs>
        <w:ind w:left="4340" w:hanging="360"/>
      </w:pPr>
      <w:rPr>
        <w:rFonts w:ascii="Wingdings" w:hAnsi="Wingdings" w:hint="default"/>
      </w:rPr>
    </w:lvl>
  </w:abstractNum>
  <w:abstractNum w:abstractNumId="4" w15:restartNumberingAfterBreak="0">
    <w:nsid w:val="02F50E72"/>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5951B0"/>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693776"/>
    <w:multiLevelType w:val="hybridMultilevel"/>
    <w:tmpl w:val="9DC07A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2F3170"/>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0F3028"/>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4669A8"/>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1" w15:restartNumberingAfterBreak="0">
    <w:nsid w:val="0AD36B94"/>
    <w:multiLevelType w:val="hybridMultilevel"/>
    <w:tmpl w:val="D7EE80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CD2B76"/>
    <w:multiLevelType w:val="hybridMultilevel"/>
    <w:tmpl w:val="62467D72"/>
    <w:lvl w:ilvl="0" w:tplc="052A8F1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B47D1C"/>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A613AE"/>
    <w:multiLevelType w:val="multilevel"/>
    <w:tmpl w:val="608A1EBA"/>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ABA0F76"/>
    <w:multiLevelType w:val="hybridMultilevel"/>
    <w:tmpl w:val="9FD41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641"/>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24208A5"/>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5550B7"/>
    <w:multiLevelType w:val="hybridMultilevel"/>
    <w:tmpl w:val="A8AC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0" w15:restartNumberingAfterBreak="0">
    <w:nsid w:val="372E0E7F"/>
    <w:multiLevelType w:val="hybridMultilevel"/>
    <w:tmpl w:val="BED4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97BA5"/>
    <w:multiLevelType w:val="multilevel"/>
    <w:tmpl w:val="5C1AE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2" w15:restartNumberingAfterBreak="0">
    <w:nsid w:val="3E311C49"/>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192A7A"/>
    <w:multiLevelType w:val="hybridMultilevel"/>
    <w:tmpl w:val="A78E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553F42"/>
    <w:multiLevelType w:val="multilevel"/>
    <w:tmpl w:val="F4B8C9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B17BA9"/>
    <w:multiLevelType w:val="hybridMultilevel"/>
    <w:tmpl w:val="9B12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D3BDA"/>
    <w:multiLevelType w:val="hybridMultilevel"/>
    <w:tmpl w:val="51CC602E"/>
    <w:lvl w:ilvl="0" w:tplc="D36C8A2A">
      <w:start w:val="1"/>
      <w:numFmt w:val="lowerRoman"/>
      <w:lvlText w:val="(%1)"/>
      <w:lvlJc w:val="left"/>
      <w:pPr>
        <w:tabs>
          <w:tab w:val="num" w:pos="1407"/>
        </w:tabs>
        <w:ind w:left="1407" w:hanging="720"/>
      </w:pPr>
      <w:rPr>
        <w:rFonts w:hint="default"/>
      </w:rPr>
    </w:lvl>
    <w:lvl w:ilvl="1" w:tplc="04090019">
      <w:start w:val="6"/>
      <w:numFmt w:val="bullet"/>
      <w:lvlText w:val="-"/>
      <w:lvlJc w:val="left"/>
      <w:pPr>
        <w:tabs>
          <w:tab w:val="num" w:pos="1767"/>
        </w:tabs>
        <w:ind w:left="1767" w:hanging="360"/>
      </w:pPr>
      <w:rPr>
        <w:rFonts w:ascii="Times New Roman" w:eastAsia="Times New Roman" w:hAnsi="Times New Roman" w:cs="Times New Roman" w:hint="default"/>
      </w:r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abstractNum w:abstractNumId="27" w15:restartNumberingAfterBreak="0">
    <w:nsid w:val="5B3E35C0"/>
    <w:multiLevelType w:val="multilevel"/>
    <w:tmpl w:val="A4BE7698"/>
    <w:lvl w:ilvl="0">
      <w:start w:val="1"/>
      <w:numFmt w:val="lowerLetter"/>
      <w:lvlText w:val="(%1)"/>
      <w:lvlJc w:val="left"/>
      <w:pPr>
        <w:tabs>
          <w:tab w:val="num" w:pos="1065"/>
        </w:tabs>
        <w:ind w:left="1065" w:hanging="360"/>
      </w:pPr>
      <w:rPr>
        <w:rFonts w:hint="default"/>
      </w:rPr>
    </w:lvl>
    <w:lvl w:ilvl="1">
      <w:start w:val="1"/>
      <w:numFmt w:val="lowerRoman"/>
      <w:lvlText w:val="%2)"/>
      <w:lvlJc w:val="left"/>
      <w:pPr>
        <w:tabs>
          <w:tab w:val="num" w:pos="1800"/>
        </w:tabs>
        <w:ind w:left="1440" w:hanging="360"/>
      </w:pPr>
      <w:rPr>
        <w:rFonts w:ascii="Calibri" w:hAnsi="Calibri" w:hint="default"/>
        <w:b w:val="0"/>
        <w:i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C8366A7"/>
    <w:multiLevelType w:val="multilevel"/>
    <w:tmpl w:val="2ADCC284"/>
    <w:lvl w:ilvl="0">
      <w:start w:val="1"/>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0B6217"/>
    <w:multiLevelType w:val="hybridMultilevel"/>
    <w:tmpl w:val="B0EE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D763F8"/>
    <w:multiLevelType w:val="hybridMultilevel"/>
    <w:tmpl w:val="D9E01B20"/>
    <w:lvl w:ilvl="0" w:tplc="CD6C5110">
      <w:start w:val="1"/>
      <w:numFmt w:val="bullet"/>
      <w:lvlText w:val=""/>
      <w:lvlJc w:val="left"/>
      <w:pPr>
        <w:ind w:left="720" w:hanging="360"/>
      </w:pPr>
      <w:rPr>
        <w:rFonts w:ascii="Symbol" w:hAnsi="Symbol" w:hint="default"/>
      </w:rPr>
    </w:lvl>
    <w:lvl w:ilvl="1" w:tplc="2D92AD48" w:tentative="1">
      <w:start w:val="1"/>
      <w:numFmt w:val="bullet"/>
      <w:lvlText w:val="o"/>
      <w:lvlJc w:val="left"/>
      <w:pPr>
        <w:ind w:left="1440" w:hanging="360"/>
      </w:pPr>
      <w:rPr>
        <w:rFonts w:ascii="Courier New" w:hAnsi="Courier New" w:cs="Courier New" w:hint="default"/>
      </w:rPr>
    </w:lvl>
    <w:lvl w:ilvl="2" w:tplc="12360CD4" w:tentative="1">
      <w:start w:val="1"/>
      <w:numFmt w:val="bullet"/>
      <w:lvlText w:val=""/>
      <w:lvlJc w:val="left"/>
      <w:pPr>
        <w:ind w:left="2160" w:hanging="360"/>
      </w:pPr>
      <w:rPr>
        <w:rFonts w:ascii="Wingdings" w:hAnsi="Wingdings" w:hint="default"/>
      </w:rPr>
    </w:lvl>
    <w:lvl w:ilvl="3" w:tplc="8054A280" w:tentative="1">
      <w:start w:val="1"/>
      <w:numFmt w:val="bullet"/>
      <w:lvlText w:val=""/>
      <w:lvlJc w:val="left"/>
      <w:pPr>
        <w:ind w:left="2880" w:hanging="360"/>
      </w:pPr>
      <w:rPr>
        <w:rFonts w:ascii="Symbol" w:hAnsi="Symbol" w:hint="default"/>
      </w:rPr>
    </w:lvl>
    <w:lvl w:ilvl="4" w:tplc="AC581DBA" w:tentative="1">
      <w:start w:val="1"/>
      <w:numFmt w:val="bullet"/>
      <w:lvlText w:val="o"/>
      <w:lvlJc w:val="left"/>
      <w:pPr>
        <w:ind w:left="3600" w:hanging="360"/>
      </w:pPr>
      <w:rPr>
        <w:rFonts w:ascii="Courier New" w:hAnsi="Courier New" w:cs="Courier New" w:hint="default"/>
      </w:rPr>
    </w:lvl>
    <w:lvl w:ilvl="5" w:tplc="B8B819E6" w:tentative="1">
      <w:start w:val="1"/>
      <w:numFmt w:val="bullet"/>
      <w:lvlText w:val=""/>
      <w:lvlJc w:val="left"/>
      <w:pPr>
        <w:ind w:left="4320" w:hanging="360"/>
      </w:pPr>
      <w:rPr>
        <w:rFonts w:ascii="Wingdings" w:hAnsi="Wingdings" w:hint="default"/>
      </w:rPr>
    </w:lvl>
    <w:lvl w:ilvl="6" w:tplc="D98EB1AC" w:tentative="1">
      <w:start w:val="1"/>
      <w:numFmt w:val="bullet"/>
      <w:lvlText w:val=""/>
      <w:lvlJc w:val="left"/>
      <w:pPr>
        <w:ind w:left="5040" w:hanging="360"/>
      </w:pPr>
      <w:rPr>
        <w:rFonts w:ascii="Symbol" w:hAnsi="Symbol" w:hint="default"/>
      </w:rPr>
    </w:lvl>
    <w:lvl w:ilvl="7" w:tplc="A650FDE8" w:tentative="1">
      <w:start w:val="1"/>
      <w:numFmt w:val="bullet"/>
      <w:lvlText w:val="o"/>
      <w:lvlJc w:val="left"/>
      <w:pPr>
        <w:ind w:left="5760" w:hanging="360"/>
      </w:pPr>
      <w:rPr>
        <w:rFonts w:ascii="Courier New" w:hAnsi="Courier New" w:cs="Courier New" w:hint="default"/>
      </w:rPr>
    </w:lvl>
    <w:lvl w:ilvl="8" w:tplc="40D8F4A4" w:tentative="1">
      <w:start w:val="1"/>
      <w:numFmt w:val="bullet"/>
      <w:lvlText w:val=""/>
      <w:lvlJc w:val="left"/>
      <w:pPr>
        <w:ind w:left="6480" w:hanging="360"/>
      </w:pPr>
      <w:rPr>
        <w:rFonts w:ascii="Wingdings" w:hAnsi="Wingdings" w:hint="default"/>
      </w:rPr>
    </w:lvl>
  </w:abstractNum>
  <w:abstractNum w:abstractNumId="31" w15:restartNumberingAfterBreak="0">
    <w:nsid w:val="6D371E48"/>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B67592"/>
    <w:multiLevelType w:val="hybridMultilevel"/>
    <w:tmpl w:val="46546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6F397D"/>
    <w:multiLevelType w:val="hybridMultilevel"/>
    <w:tmpl w:val="736E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C92468"/>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397574"/>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E65131"/>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B385996"/>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B512BD8"/>
    <w:multiLevelType w:val="hybridMultilevel"/>
    <w:tmpl w:val="945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07775"/>
    <w:multiLevelType w:val="hybridMultilevel"/>
    <w:tmpl w:val="11262F6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0" w15:restartNumberingAfterBreak="0">
    <w:nsid w:val="7D557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E03E18"/>
    <w:multiLevelType w:val="multilevel"/>
    <w:tmpl w:val="2A4E3AAA"/>
    <w:lvl w:ilvl="0">
      <w:start w:val="1"/>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4311A0"/>
    <w:multiLevelType w:val="multilevel"/>
    <w:tmpl w:val="B822A23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F761868"/>
    <w:multiLevelType w:val="multilevel"/>
    <w:tmpl w:val="E0E2D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68659415">
    <w:abstractNumId w:val="10"/>
  </w:num>
  <w:num w:numId="2" w16cid:durableId="89552585">
    <w:abstractNumId w:val="19"/>
  </w:num>
  <w:num w:numId="3" w16cid:durableId="1238131949">
    <w:abstractNumId w:val="3"/>
  </w:num>
  <w:num w:numId="4" w16cid:durableId="2040161534">
    <w:abstractNumId w:val="41"/>
  </w:num>
  <w:num w:numId="5" w16cid:durableId="237789915">
    <w:abstractNumId w:val="27"/>
  </w:num>
  <w:num w:numId="6" w16cid:durableId="1234197892">
    <w:abstractNumId w:val="32"/>
  </w:num>
  <w:num w:numId="7" w16cid:durableId="1414232727">
    <w:abstractNumId w:val="21"/>
  </w:num>
  <w:num w:numId="8" w16cid:durableId="480390934">
    <w:abstractNumId w:val="38"/>
  </w:num>
  <w:num w:numId="9" w16cid:durableId="271858770">
    <w:abstractNumId w:val="41"/>
  </w:num>
  <w:num w:numId="10" w16cid:durableId="1762068993">
    <w:abstractNumId w:val="41"/>
  </w:num>
  <w:num w:numId="11" w16cid:durableId="434715047">
    <w:abstractNumId w:val="39"/>
  </w:num>
  <w:num w:numId="12" w16cid:durableId="1366830453">
    <w:abstractNumId w:val="29"/>
  </w:num>
  <w:num w:numId="13" w16cid:durableId="51390544">
    <w:abstractNumId w:val="30"/>
  </w:num>
  <w:num w:numId="14" w16cid:durableId="1907645965">
    <w:abstractNumId w:val="23"/>
  </w:num>
  <w:num w:numId="15" w16cid:durableId="1866358986">
    <w:abstractNumId w:val="42"/>
  </w:num>
  <w:num w:numId="16" w16cid:durableId="100998895">
    <w:abstractNumId w:val="26"/>
  </w:num>
  <w:num w:numId="17" w16cid:durableId="2039816397">
    <w:abstractNumId w:val="11"/>
  </w:num>
  <w:num w:numId="18" w16cid:durableId="1519926954">
    <w:abstractNumId w:val="18"/>
  </w:num>
  <w:num w:numId="19" w16cid:durableId="900480263">
    <w:abstractNumId w:val="0"/>
  </w:num>
  <w:num w:numId="20" w16cid:durableId="1536624503">
    <w:abstractNumId w:val="20"/>
  </w:num>
  <w:num w:numId="21" w16cid:durableId="1054357013">
    <w:abstractNumId w:val="33"/>
  </w:num>
  <w:num w:numId="22" w16cid:durableId="1980185383">
    <w:abstractNumId w:val="40"/>
  </w:num>
  <w:num w:numId="23" w16cid:durableId="2082822468">
    <w:abstractNumId w:val="16"/>
  </w:num>
  <w:num w:numId="24" w16cid:durableId="978263306">
    <w:abstractNumId w:val="5"/>
  </w:num>
  <w:num w:numId="25" w16cid:durableId="1736732445">
    <w:abstractNumId w:val="17"/>
  </w:num>
  <w:num w:numId="26" w16cid:durableId="110710135">
    <w:abstractNumId w:val="36"/>
  </w:num>
  <w:num w:numId="27" w16cid:durableId="646858794">
    <w:abstractNumId w:val="37"/>
  </w:num>
  <w:num w:numId="28" w16cid:durableId="921526991">
    <w:abstractNumId w:val="31"/>
  </w:num>
  <w:num w:numId="29" w16cid:durableId="1537615991">
    <w:abstractNumId w:val="4"/>
  </w:num>
  <w:num w:numId="30" w16cid:durableId="439180175">
    <w:abstractNumId w:val="13"/>
  </w:num>
  <w:num w:numId="31" w16cid:durableId="627706107">
    <w:abstractNumId w:val="8"/>
  </w:num>
  <w:num w:numId="32" w16cid:durableId="969094981">
    <w:abstractNumId w:val="22"/>
  </w:num>
  <w:num w:numId="33" w16cid:durableId="947738472">
    <w:abstractNumId w:val="7"/>
  </w:num>
  <w:num w:numId="34" w16cid:durableId="1110776879">
    <w:abstractNumId w:val="34"/>
  </w:num>
  <w:num w:numId="35" w16cid:durableId="2032533585">
    <w:abstractNumId w:val="35"/>
  </w:num>
  <w:num w:numId="36" w16cid:durableId="475755276">
    <w:abstractNumId w:val="43"/>
  </w:num>
  <w:num w:numId="37" w16cid:durableId="1995186036">
    <w:abstractNumId w:val="9"/>
  </w:num>
  <w:num w:numId="38" w16cid:durableId="1701852333">
    <w:abstractNumId w:val="28"/>
  </w:num>
  <w:num w:numId="39" w16cid:durableId="20514707">
    <w:abstractNumId w:val="12"/>
  </w:num>
  <w:num w:numId="40" w16cid:durableId="1998652313">
    <w:abstractNumId w:val="2"/>
  </w:num>
  <w:num w:numId="41" w16cid:durableId="447046313">
    <w:abstractNumId w:val="41"/>
  </w:num>
  <w:num w:numId="42" w16cid:durableId="1722820658">
    <w:abstractNumId w:val="24"/>
  </w:num>
  <w:num w:numId="43" w16cid:durableId="420302074">
    <w:abstractNumId w:val="41"/>
  </w:num>
  <w:num w:numId="44" w16cid:durableId="200825786">
    <w:abstractNumId w:val="14"/>
  </w:num>
  <w:num w:numId="45" w16cid:durableId="456262352">
    <w:abstractNumId w:val="6"/>
  </w:num>
  <w:num w:numId="46" w16cid:durableId="12116490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420277">
    <w:abstractNumId w:val="41"/>
  </w:num>
  <w:num w:numId="48" w16cid:durableId="1962498004">
    <w:abstractNumId w:val="15"/>
  </w:num>
  <w:num w:numId="49" w16cid:durableId="1082918363">
    <w:abstractNumId w:val="1"/>
  </w:num>
  <w:num w:numId="50" w16cid:durableId="25705841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2D"/>
    <w:rsid w:val="00007899"/>
    <w:rsid w:val="000112E5"/>
    <w:rsid w:val="00015021"/>
    <w:rsid w:val="000235E0"/>
    <w:rsid w:val="00031CFC"/>
    <w:rsid w:val="0004555F"/>
    <w:rsid w:val="0005152C"/>
    <w:rsid w:val="0005314A"/>
    <w:rsid w:val="000556CB"/>
    <w:rsid w:val="00056206"/>
    <w:rsid w:val="00056F1E"/>
    <w:rsid w:val="00061EFC"/>
    <w:rsid w:val="000656D9"/>
    <w:rsid w:val="00070D49"/>
    <w:rsid w:val="000739D1"/>
    <w:rsid w:val="00073FA6"/>
    <w:rsid w:val="0008057D"/>
    <w:rsid w:val="00090A4E"/>
    <w:rsid w:val="000945B5"/>
    <w:rsid w:val="00094C9A"/>
    <w:rsid w:val="00097FB9"/>
    <w:rsid w:val="000A0399"/>
    <w:rsid w:val="000A50B7"/>
    <w:rsid w:val="000B0E53"/>
    <w:rsid w:val="000B67A3"/>
    <w:rsid w:val="000B7D21"/>
    <w:rsid w:val="000C0FBA"/>
    <w:rsid w:val="000D063D"/>
    <w:rsid w:val="000D2E7C"/>
    <w:rsid w:val="000E19B1"/>
    <w:rsid w:val="000F1F6B"/>
    <w:rsid w:val="000F5176"/>
    <w:rsid w:val="000F5D3A"/>
    <w:rsid w:val="000F73D3"/>
    <w:rsid w:val="000F74E9"/>
    <w:rsid w:val="001012E5"/>
    <w:rsid w:val="00102DCE"/>
    <w:rsid w:val="001049CD"/>
    <w:rsid w:val="00104D2C"/>
    <w:rsid w:val="0010519E"/>
    <w:rsid w:val="0010590D"/>
    <w:rsid w:val="001061FA"/>
    <w:rsid w:val="00107976"/>
    <w:rsid w:val="0011446D"/>
    <w:rsid w:val="00115BFE"/>
    <w:rsid w:val="0012152F"/>
    <w:rsid w:val="00122DBF"/>
    <w:rsid w:val="001236F3"/>
    <w:rsid w:val="00123A63"/>
    <w:rsid w:val="001250F6"/>
    <w:rsid w:val="00127666"/>
    <w:rsid w:val="0013477F"/>
    <w:rsid w:val="00134E9D"/>
    <w:rsid w:val="0013640A"/>
    <w:rsid w:val="001370FA"/>
    <w:rsid w:val="0014047F"/>
    <w:rsid w:val="00145B8A"/>
    <w:rsid w:val="001461C0"/>
    <w:rsid w:val="001463EB"/>
    <w:rsid w:val="00151F0C"/>
    <w:rsid w:val="0015430B"/>
    <w:rsid w:val="00163FC8"/>
    <w:rsid w:val="0016506F"/>
    <w:rsid w:val="00170CB2"/>
    <w:rsid w:val="001745F0"/>
    <w:rsid w:val="0018040E"/>
    <w:rsid w:val="0018099A"/>
    <w:rsid w:val="00181BC6"/>
    <w:rsid w:val="00182B00"/>
    <w:rsid w:val="00182E8A"/>
    <w:rsid w:val="00182E98"/>
    <w:rsid w:val="001874F3"/>
    <w:rsid w:val="00192151"/>
    <w:rsid w:val="00195E09"/>
    <w:rsid w:val="00195F46"/>
    <w:rsid w:val="001968D9"/>
    <w:rsid w:val="001A7100"/>
    <w:rsid w:val="001B0BA5"/>
    <w:rsid w:val="001B4DE2"/>
    <w:rsid w:val="001B685B"/>
    <w:rsid w:val="001C306B"/>
    <w:rsid w:val="001C56AB"/>
    <w:rsid w:val="001C79EF"/>
    <w:rsid w:val="001C7C9C"/>
    <w:rsid w:val="001D03AE"/>
    <w:rsid w:val="001D1882"/>
    <w:rsid w:val="001D4A27"/>
    <w:rsid w:val="001D69BE"/>
    <w:rsid w:val="001E4877"/>
    <w:rsid w:val="001E5FEF"/>
    <w:rsid w:val="001E60A6"/>
    <w:rsid w:val="00204A61"/>
    <w:rsid w:val="002070EE"/>
    <w:rsid w:val="00210349"/>
    <w:rsid w:val="0021099D"/>
    <w:rsid w:val="00216DB6"/>
    <w:rsid w:val="00217DF1"/>
    <w:rsid w:val="00220C1E"/>
    <w:rsid w:val="002211C5"/>
    <w:rsid w:val="002413FF"/>
    <w:rsid w:val="0024270A"/>
    <w:rsid w:val="00252CF8"/>
    <w:rsid w:val="0025372B"/>
    <w:rsid w:val="00253D0C"/>
    <w:rsid w:val="00260189"/>
    <w:rsid w:val="00263E02"/>
    <w:rsid w:val="002667F1"/>
    <w:rsid w:val="0026764E"/>
    <w:rsid w:val="0026798E"/>
    <w:rsid w:val="002740B6"/>
    <w:rsid w:val="00274C3E"/>
    <w:rsid w:val="00286A41"/>
    <w:rsid w:val="002A134C"/>
    <w:rsid w:val="002A4ADA"/>
    <w:rsid w:val="002B391E"/>
    <w:rsid w:val="002B43F3"/>
    <w:rsid w:val="002B4D3C"/>
    <w:rsid w:val="002B4F37"/>
    <w:rsid w:val="002B5A12"/>
    <w:rsid w:val="002C0635"/>
    <w:rsid w:val="002C0A51"/>
    <w:rsid w:val="002C2272"/>
    <w:rsid w:val="002C2521"/>
    <w:rsid w:val="002C2963"/>
    <w:rsid w:val="002C3B13"/>
    <w:rsid w:val="002C469B"/>
    <w:rsid w:val="002C5A60"/>
    <w:rsid w:val="002C785E"/>
    <w:rsid w:val="002D2697"/>
    <w:rsid w:val="002D40AF"/>
    <w:rsid w:val="002D5DBA"/>
    <w:rsid w:val="002D6B74"/>
    <w:rsid w:val="002E1B57"/>
    <w:rsid w:val="002E23E7"/>
    <w:rsid w:val="002E3F01"/>
    <w:rsid w:val="002E43F5"/>
    <w:rsid w:val="002F76C6"/>
    <w:rsid w:val="003019CD"/>
    <w:rsid w:val="003114FB"/>
    <w:rsid w:val="00316F20"/>
    <w:rsid w:val="0032490E"/>
    <w:rsid w:val="00324CE1"/>
    <w:rsid w:val="0033335A"/>
    <w:rsid w:val="00335D5A"/>
    <w:rsid w:val="00335FA1"/>
    <w:rsid w:val="00336564"/>
    <w:rsid w:val="00344B5B"/>
    <w:rsid w:val="00347A7E"/>
    <w:rsid w:val="00347DA0"/>
    <w:rsid w:val="00351C1B"/>
    <w:rsid w:val="00355BD4"/>
    <w:rsid w:val="0036438B"/>
    <w:rsid w:val="003661F9"/>
    <w:rsid w:val="003715E6"/>
    <w:rsid w:val="00372DD3"/>
    <w:rsid w:val="00373E37"/>
    <w:rsid w:val="00377C0D"/>
    <w:rsid w:val="00381CF4"/>
    <w:rsid w:val="00382C46"/>
    <w:rsid w:val="00383A02"/>
    <w:rsid w:val="00391051"/>
    <w:rsid w:val="003B0300"/>
    <w:rsid w:val="003B0856"/>
    <w:rsid w:val="003B1335"/>
    <w:rsid w:val="003B1A08"/>
    <w:rsid w:val="003C1E16"/>
    <w:rsid w:val="003C2BD3"/>
    <w:rsid w:val="003D0831"/>
    <w:rsid w:val="003D2774"/>
    <w:rsid w:val="003D2D25"/>
    <w:rsid w:val="003D4E8A"/>
    <w:rsid w:val="003D59CB"/>
    <w:rsid w:val="003E1BB3"/>
    <w:rsid w:val="003E745D"/>
    <w:rsid w:val="003E79F7"/>
    <w:rsid w:val="003F4842"/>
    <w:rsid w:val="003F5154"/>
    <w:rsid w:val="003F6933"/>
    <w:rsid w:val="003F7A76"/>
    <w:rsid w:val="004004FA"/>
    <w:rsid w:val="00401241"/>
    <w:rsid w:val="00403DB9"/>
    <w:rsid w:val="0040431A"/>
    <w:rsid w:val="00417BB5"/>
    <w:rsid w:val="004213D9"/>
    <w:rsid w:val="0043370C"/>
    <w:rsid w:val="00435B2B"/>
    <w:rsid w:val="00437715"/>
    <w:rsid w:val="00440A32"/>
    <w:rsid w:val="00441444"/>
    <w:rsid w:val="00444138"/>
    <w:rsid w:val="004455DD"/>
    <w:rsid w:val="0045748E"/>
    <w:rsid w:val="00461506"/>
    <w:rsid w:val="00467BA6"/>
    <w:rsid w:val="00470F0C"/>
    <w:rsid w:val="004748CC"/>
    <w:rsid w:val="00475AF5"/>
    <w:rsid w:val="00484224"/>
    <w:rsid w:val="004857B8"/>
    <w:rsid w:val="004A2467"/>
    <w:rsid w:val="004A61D9"/>
    <w:rsid w:val="004B2675"/>
    <w:rsid w:val="004B34E3"/>
    <w:rsid w:val="004B4A80"/>
    <w:rsid w:val="004B66BB"/>
    <w:rsid w:val="004B688C"/>
    <w:rsid w:val="004B71C5"/>
    <w:rsid w:val="004C2A9A"/>
    <w:rsid w:val="004C42DA"/>
    <w:rsid w:val="004C4847"/>
    <w:rsid w:val="004C6CA8"/>
    <w:rsid w:val="004C6DE2"/>
    <w:rsid w:val="004D35A7"/>
    <w:rsid w:val="004D44E5"/>
    <w:rsid w:val="004D7FD9"/>
    <w:rsid w:val="004E15E2"/>
    <w:rsid w:val="004E4757"/>
    <w:rsid w:val="004F0900"/>
    <w:rsid w:val="004F66BD"/>
    <w:rsid w:val="004F6AA2"/>
    <w:rsid w:val="004F75A6"/>
    <w:rsid w:val="004F77CB"/>
    <w:rsid w:val="00500C2D"/>
    <w:rsid w:val="00500C47"/>
    <w:rsid w:val="00501D7C"/>
    <w:rsid w:val="00510BDD"/>
    <w:rsid w:val="00512EA2"/>
    <w:rsid w:val="00513C42"/>
    <w:rsid w:val="005152BC"/>
    <w:rsid w:val="00516063"/>
    <w:rsid w:val="0051729C"/>
    <w:rsid w:val="005210C7"/>
    <w:rsid w:val="00521DCD"/>
    <w:rsid w:val="005305C6"/>
    <w:rsid w:val="00531274"/>
    <w:rsid w:val="00531B4E"/>
    <w:rsid w:val="00531C63"/>
    <w:rsid w:val="005372BD"/>
    <w:rsid w:val="00540F3A"/>
    <w:rsid w:val="005422D0"/>
    <w:rsid w:val="0055096F"/>
    <w:rsid w:val="005515EE"/>
    <w:rsid w:val="00557E3B"/>
    <w:rsid w:val="00561117"/>
    <w:rsid w:val="005708C7"/>
    <w:rsid w:val="005720DA"/>
    <w:rsid w:val="00572AB6"/>
    <w:rsid w:val="00575656"/>
    <w:rsid w:val="0057785D"/>
    <w:rsid w:val="00582CFF"/>
    <w:rsid w:val="0059383C"/>
    <w:rsid w:val="0059463C"/>
    <w:rsid w:val="005A1AA7"/>
    <w:rsid w:val="005B466F"/>
    <w:rsid w:val="005B596D"/>
    <w:rsid w:val="005C08FE"/>
    <w:rsid w:val="005C692E"/>
    <w:rsid w:val="005D23A4"/>
    <w:rsid w:val="005E45FF"/>
    <w:rsid w:val="005E66E2"/>
    <w:rsid w:val="005E7A3E"/>
    <w:rsid w:val="005F2627"/>
    <w:rsid w:val="005F35AD"/>
    <w:rsid w:val="005F3BF1"/>
    <w:rsid w:val="005F3CDF"/>
    <w:rsid w:val="00600A48"/>
    <w:rsid w:val="00600E92"/>
    <w:rsid w:val="00604F0B"/>
    <w:rsid w:val="00605519"/>
    <w:rsid w:val="00607349"/>
    <w:rsid w:val="00610CB6"/>
    <w:rsid w:val="006132B4"/>
    <w:rsid w:val="00616924"/>
    <w:rsid w:val="0061777D"/>
    <w:rsid w:val="00621F10"/>
    <w:rsid w:val="00624501"/>
    <w:rsid w:val="00630FB5"/>
    <w:rsid w:val="006460C5"/>
    <w:rsid w:val="00647F0A"/>
    <w:rsid w:val="006637AB"/>
    <w:rsid w:val="00667D31"/>
    <w:rsid w:val="0067357E"/>
    <w:rsid w:val="00674580"/>
    <w:rsid w:val="00674A79"/>
    <w:rsid w:val="00674BD0"/>
    <w:rsid w:val="00675113"/>
    <w:rsid w:val="00677B60"/>
    <w:rsid w:val="0069037C"/>
    <w:rsid w:val="006921C0"/>
    <w:rsid w:val="0069220A"/>
    <w:rsid w:val="00692462"/>
    <w:rsid w:val="00697229"/>
    <w:rsid w:val="00697933"/>
    <w:rsid w:val="006A0464"/>
    <w:rsid w:val="006A4555"/>
    <w:rsid w:val="006A5149"/>
    <w:rsid w:val="006B1254"/>
    <w:rsid w:val="006B1541"/>
    <w:rsid w:val="006B231A"/>
    <w:rsid w:val="006B2E82"/>
    <w:rsid w:val="006B5738"/>
    <w:rsid w:val="006B5DCE"/>
    <w:rsid w:val="006B62E4"/>
    <w:rsid w:val="006C74E2"/>
    <w:rsid w:val="006C7757"/>
    <w:rsid w:val="006D1DB1"/>
    <w:rsid w:val="006D2040"/>
    <w:rsid w:val="006D20A2"/>
    <w:rsid w:val="006D2D2C"/>
    <w:rsid w:val="006D6312"/>
    <w:rsid w:val="006D79D3"/>
    <w:rsid w:val="006E1141"/>
    <w:rsid w:val="006E4F44"/>
    <w:rsid w:val="006E53A9"/>
    <w:rsid w:val="006E6165"/>
    <w:rsid w:val="006F1565"/>
    <w:rsid w:val="00700E75"/>
    <w:rsid w:val="00703DE7"/>
    <w:rsid w:val="00714C87"/>
    <w:rsid w:val="0071674A"/>
    <w:rsid w:val="00730C82"/>
    <w:rsid w:val="00732D04"/>
    <w:rsid w:val="007351B8"/>
    <w:rsid w:val="00735CE4"/>
    <w:rsid w:val="00746C96"/>
    <w:rsid w:val="007534BC"/>
    <w:rsid w:val="00757287"/>
    <w:rsid w:val="007612FA"/>
    <w:rsid w:val="00764843"/>
    <w:rsid w:val="00764A8D"/>
    <w:rsid w:val="007653BC"/>
    <w:rsid w:val="00774F91"/>
    <w:rsid w:val="00775190"/>
    <w:rsid w:val="0078119F"/>
    <w:rsid w:val="007853A6"/>
    <w:rsid w:val="00791C85"/>
    <w:rsid w:val="00793F8D"/>
    <w:rsid w:val="007A0CEA"/>
    <w:rsid w:val="007A3978"/>
    <w:rsid w:val="007A44ED"/>
    <w:rsid w:val="007B2F07"/>
    <w:rsid w:val="007B3033"/>
    <w:rsid w:val="007B3D4C"/>
    <w:rsid w:val="007B444B"/>
    <w:rsid w:val="007B5A4D"/>
    <w:rsid w:val="007B7D04"/>
    <w:rsid w:val="007C050D"/>
    <w:rsid w:val="007D0169"/>
    <w:rsid w:val="007D57D5"/>
    <w:rsid w:val="007E11E5"/>
    <w:rsid w:val="007E3378"/>
    <w:rsid w:val="007E424C"/>
    <w:rsid w:val="007E4C05"/>
    <w:rsid w:val="007E6AB7"/>
    <w:rsid w:val="00802958"/>
    <w:rsid w:val="00802ACA"/>
    <w:rsid w:val="008035C3"/>
    <w:rsid w:val="0080694B"/>
    <w:rsid w:val="00811707"/>
    <w:rsid w:val="00813A81"/>
    <w:rsid w:val="0081580E"/>
    <w:rsid w:val="00816B0C"/>
    <w:rsid w:val="00816BA9"/>
    <w:rsid w:val="00823301"/>
    <w:rsid w:val="008236B1"/>
    <w:rsid w:val="0082575E"/>
    <w:rsid w:val="00830CF9"/>
    <w:rsid w:val="008316A3"/>
    <w:rsid w:val="00840B00"/>
    <w:rsid w:val="00842AA2"/>
    <w:rsid w:val="00846D8E"/>
    <w:rsid w:val="0085002F"/>
    <w:rsid w:val="00856FC8"/>
    <w:rsid w:val="00857483"/>
    <w:rsid w:val="00861DF6"/>
    <w:rsid w:val="0086483E"/>
    <w:rsid w:val="00865598"/>
    <w:rsid w:val="00867A92"/>
    <w:rsid w:val="00867B9E"/>
    <w:rsid w:val="00870068"/>
    <w:rsid w:val="00877EB0"/>
    <w:rsid w:val="00882C73"/>
    <w:rsid w:val="00883CEC"/>
    <w:rsid w:val="00884608"/>
    <w:rsid w:val="00891859"/>
    <w:rsid w:val="00895565"/>
    <w:rsid w:val="0089656C"/>
    <w:rsid w:val="0089720F"/>
    <w:rsid w:val="008A43CC"/>
    <w:rsid w:val="008A4A64"/>
    <w:rsid w:val="008A7C15"/>
    <w:rsid w:val="008B36C4"/>
    <w:rsid w:val="008B5E76"/>
    <w:rsid w:val="008B6DDC"/>
    <w:rsid w:val="008C43AB"/>
    <w:rsid w:val="008C5BE2"/>
    <w:rsid w:val="008D0A3D"/>
    <w:rsid w:val="008D2952"/>
    <w:rsid w:val="008D5909"/>
    <w:rsid w:val="008F24DC"/>
    <w:rsid w:val="00901AFE"/>
    <w:rsid w:val="009031DC"/>
    <w:rsid w:val="0090590E"/>
    <w:rsid w:val="009074E1"/>
    <w:rsid w:val="0091032A"/>
    <w:rsid w:val="009118FF"/>
    <w:rsid w:val="00912FF7"/>
    <w:rsid w:val="00913857"/>
    <w:rsid w:val="0092035A"/>
    <w:rsid w:val="009203C3"/>
    <w:rsid w:val="00921A48"/>
    <w:rsid w:val="00926988"/>
    <w:rsid w:val="00934A13"/>
    <w:rsid w:val="00935862"/>
    <w:rsid w:val="00940F71"/>
    <w:rsid w:val="00943B30"/>
    <w:rsid w:val="00944A2C"/>
    <w:rsid w:val="009468BC"/>
    <w:rsid w:val="00946CD2"/>
    <w:rsid w:val="009472F5"/>
    <w:rsid w:val="00953C7A"/>
    <w:rsid w:val="00960FDB"/>
    <w:rsid w:val="00962FCD"/>
    <w:rsid w:val="0096360C"/>
    <w:rsid w:val="00964233"/>
    <w:rsid w:val="009651FF"/>
    <w:rsid w:val="00965615"/>
    <w:rsid w:val="00970733"/>
    <w:rsid w:val="009844CE"/>
    <w:rsid w:val="0098544D"/>
    <w:rsid w:val="009859F7"/>
    <w:rsid w:val="00991FB8"/>
    <w:rsid w:val="00992018"/>
    <w:rsid w:val="009A108C"/>
    <w:rsid w:val="009A24F2"/>
    <w:rsid w:val="009A4B5B"/>
    <w:rsid w:val="009B0002"/>
    <w:rsid w:val="009B0020"/>
    <w:rsid w:val="009D1A1F"/>
    <w:rsid w:val="009D5748"/>
    <w:rsid w:val="009D72B0"/>
    <w:rsid w:val="009D7B52"/>
    <w:rsid w:val="009E34DA"/>
    <w:rsid w:val="009E4C67"/>
    <w:rsid w:val="009E65ED"/>
    <w:rsid w:val="009E735F"/>
    <w:rsid w:val="009F1E09"/>
    <w:rsid w:val="009F6241"/>
    <w:rsid w:val="00A01575"/>
    <w:rsid w:val="00A10D88"/>
    <w:rsid w:val="00A17EE2"/>
    <w:rsid w:val="00A35E49"/>
    <w:rsid w:val="00A3755C"/>
    <w:rsid w:val="00A403CA"/>
    <w:rsid w:val="00A4108A"/>
    <w:rsid w:val="00A41CAA"/>
    <w:rsid w:val="00A508E6"/>
    <w:rsid w:val="00A62067"/>
    <w:rsid w:val="00A63882"/>
    <w:rsid w:val="00A7057A"/>
    <w:rsid w:val="00A72561"/>
    <w:rsid w:val="00A750B6"/>
    <w:rsid w:val="00A760A2"/>
    <w:rsid w:val="00A77538"/>
    <w:rsid w:val="00A80CD8"/>
    <w:rsid w:val="00A878FB"/>
    <w:rsid w:val="00A90AB7"/>
    <w:rsid w:val="00A9679B"/>
    <w:rsid w:val="00AA3C18"/>
    <w:rsid w:val="00AA5597"/>
    <w:rsid w:val="00AB02E2"/>
    <w:rsid w:val="00AB3372"/>
    <w:rsid w:val="00AC1C71"/>
    <w:rsid w:val="00AC729A"/>
    <w:rsid w:val="00AD45E6"/>
    <w:rsid w:val="00AD5324"/>
    <w:rsid w:val="00AE2CF2"/>
    <w:rsid w:val="00AE689E"/>
    <w:rsid w:val="00AE77C3"/>
    <w:rsid w:val="00B258EE"/>
    <w:rsid w:val="00B36F10"/>
    <w:rsid w:val="00B373AF"/>
    <w:rsid w:val="00B3771A"/>
    <w:rsid w:val="00B40DE4"/>
    <w:rsid w:val="00B41011"/>
    <w:rsid w:val="00B42918"/>
    <w:rsid w:val="00B50DAA"/>
    <w:rsid w:val="00B51C15"/>
    <w:rsid w:val="00B543C2"/>
    <w:rsid w:val="00B569F4"/>
    <w:rsid w:val="00B602B7"/>
    <w:rsid w:val="00B61E76"/>
    <w:rsid w:val="00B634A3"/>
    <w:rsid w:val="00B7173F"/>
    <w:rsid w:val="00B7359A"/>
    <w:rsid w:val="00B748D0"/>
    <w:rsid w:val="00B76438"/>
    <w:rsid w:val="00B7661C"/>
    <w:rsid w:val="00B80186"/>
    <w:rsid w:val="00B83610"/>
    <w:rsid w:val="00B90A5E"/>
    <w:rsid w:val="00B90F0B"/>
    <w:rsid w:val="00B94E3B"/>
    <w:rsid w:val="00B960E0"/>
    <w:rsid w:val="00B96194"/>
    <w:rsid w:val="00B97BF2"/>
    <w:rsid w:val="00BA15E9"/>
    <w:rsid w:val="00BA23CF"/>
    <w:rsid w:val="00BA2991"/>
    <w:rsid w:val="00BA3A88"/>
    <w:rsid w:val="00BA5DCE"/>
    <w:rsid w:val="00BA7F15"/>
    <w:rsid w:val="00BB3562"/>
    <w:rsid w:val="00BB5E73"/>
    <w:rsid w:val="00BB7044"/>
    <w:rsid w:val="00BC0E5B"/>
    <w:rsid w:val="00BC2ABD"/>
    <w:rsid w:val="00BC3333"/>
    <w:rsid w:val="00BC44F7"/>
    <w:rsid w:val="00BD126D"/>
    <w:rsid w:val="00BD1CE2"/>
    <w:rsid w:val="00BD5F55"/>
    <w:rsid w:val="00BE3052"/>
    <w:rsid w:val="00BE4B52"/>
    <w:rsid w:val="00BF676E"/>
    <w:rsid w:val="00BF7D35"/>
    <w:rsid w:val="00C03DBD"/>
    <w:rsid w:val="00C04309"/>
    <w:rsid w:val="00C0486A"/>
    <w:rsid w:val="00C05120"/>
    <w:rsid w:val="00C078FD"/>
    <w:rsid w:val="00C10C16"/>
    <w:rsid w:val="00C15BC0"/>
    <w:rsid w:val="00C22742"/>
    <w:rsid w:val="00C22C53"/>
    <w:rsid w:val="00C23982"/>
    <w:rsid w:val="00C2538E"/>
    <w:rsid w:val="00C32396"/>
    <w:rsid w:val="00C40059"/>
    <w:rsid w:val="00C420E9"/>
    <w:rsid w:val="00C51E83"/>
    <w:rsid w:val="00C51F45"/>
    <w:rsid w:val="00C523C3"/>
    <w:rsid w:val="00C5322A"/>
    <w:rsid w:val="00C561B4"/>
    <w:rsid w:val="00C6114B"/>
    <w:rsid w:val="00C616D7"/>
    <w:rsid w:val="00C6525C"/>
    <w:rsid w:val="00C74542"/>
    <w:rsid w:val="00C76A53"/>
    <w:rsid w:val="00C8026E"/>
    <w:rsid w:val="00C810A6"/>
    <w:rsid w:val="00C82054"/>
    <w:rsid w:val="00C85F11"/>
    <w:rsid w:val="00C90DE3"/>
    <w:rsid w:val="00C91627"/>
    <w:rsid w:val="00C95977"/>
    <w:rsid w:val="00CA01A6"/>
    <w:rsid w:val="00CA0760"/>
    <w:rsid w:val="00CA0D6A"/>
    <w:rsid w:val="00CA0E47"/>
    <w:rsid w:val="00CA1FB8"/>
    <w:rsid w:val="00CA682D"/>
    <w:rsid w:val="00CA7769"/>
    <w:rsid w:val="00CB1C7E"/>
    <w:rsid w:val="00CB3A78"/>
    <w:rsid w:val="00CB49F4"/>
    <w:rsid w:val="00CB61D3"/>
    <w:rsid w:val="00CB6CD9"/>
    <w:rsid w:val="00CB7D64"/>
    <w:rsid w:val="00CB7ED3"/>
    <w:rsid w:val="00CC13BB"/>
    <w:rsid w:val="00CC57FE"/>
    <w:rsid w:val="00CD1EAD"/>
    <w:rsid w:val="00CE4B09"/>
    <w:rsid w:val="00CF2E46"/>
    <w:rsid w:val="00D003B9"/>
    <w:rsid w:val="00D018AF"/>
    <w:rsid w:val="00D04F1B"/>
    <w:rsid w:val="00D057F8"/>
    <w:rsid w:val="00D10381"/>
    <w:rsid w:val="00D118CE"/>
    <w:rsid w:val="00D202D4"/>
    <w:rsid w:val="00D24A6F"/>
    <w:rsid w:val="00D34A6C"/>
    <w:rsid w:val="00D364F2"/>
    <w:rsid w:val="00D452F4"/>
    <w:rsid w:val="00D47FC9"/>
    <w:rsid w:val="00D5308B"/>
    <w:rsid w:val="00D562D2"/>
    <w:rsid w:val="00D60185"/>
    <w:rsid w:val="00D6128B"/>
    <w:rsid w:val="00D6184E"/>
    <w:rsid w:val="00D66012"/>
    <w:rsid w:val="00D73787"/>
    <w:rsid w:val="00D75FE9"/>
    <w:rsid w:val="00D833FF"/>
    <w:rsid w:val="00D842B1"/>
    <w:rsid w:val="00D84BDF"/>
    <w:rsid w:val="00D850CE"/>
    <w:rsid w:val="00D924C3"/>
    <w:rsid w:val="00D93135"/>
    <w:rsid w:val="00DA1FDE"/>
    <w:rsid w:val="00DA3D0F"/>
    <w:rsid w:val="00DA46E9"/>
    <w:rsid w:val="00DA5979"/>
    <w:rsid w:val="00DB1F22"/>
    <w:rsid w:val="00DB7560"/>
    <w:rsid w:val="00DC011D"/>
    <w:rsid w:val="00DC337A"/>
    <w:rsid w:val="00DC35CF"/>
    <w:rsid w:val="00DC5108"/>
    <w:rsid w:val="00DC689A"/>
    <w:rsid w:val="00DC6C6D"/>
    <w:rsid w:val="00DC79EE"/>
    <w:rsid w:val="00DD3FB5"/>
    <w:rsid w:val="00DD633A"/>
    <w:rsid w:val="00DD73BE"/>
    <w:rsid w:val="00DE39AD"/>
    <w:rsid w:val="00DE6EB1"/>
    <w:rsid w:val="00DF0D48"/>
    <w:rsid w:val="00DF10B8"/>
    <w:rsid w:val="00DF140E"/>
    <w:rsid w:val="00DF3859"/>
    <w:rsid w:val="00DF40FC"/>
    <w:rsid w:val="00DF4AC6"/>
    <w:rsid w:val="00E010F5"/>
    <w:rsid w:val="00E01547"/>
    <w:rsid w:val="00E12EF6"/>
    <w:rsid w:val="00E14F84"/>
    <w:rsid w:val="00E16907"/>
    <w:rsid w:val="00E23369"/>
    <w:rsid w:val="00E30896"/>
    <w:rsid w:val="00E3096A"/>
    <w:rsid w:val="00E32058"/>
    <w:rsid w:val="00E33098"/>
    <w:rsid w:val="00E356CE"/>
    <w:rsid w:val="00E35B41"/>
    <w:rsid w:val="00E43087"/>
    <w:rsid w:val="00E46B09"/>
    <w:rsid w:val="00E546CC"/>
    <w:rsid w:val="00E54F8A"/>
    <w:rsid w:val="00E61D6D"/>
    <w:rsid w:val="00E66FEB"/>
    <w:rsid w:val="00E671C9"/>
    <w:rsid w:val="00E71B34"/>
    <w:rsid w:val="00E743A0"/>
    <w:rsid w:val="00E7449B"/>
    <w:rsid w:val="00E7697C"/>
    <w:rsid w:val="00E8076E"/>
    <w:rsid w:val="00E839E7"/>
    <w:rsid w:val="00E846BF"/>
    <w:rsid w:val="00EA1A9E"/>
    <w:rsid w:val="00EA644C"/>
    <w:rsid w:val="00EA6F3D"/>
    <w:rsid w:val="00EE2454"/>
    <w:rsid w:val="00EE3961"/>
    <w:rsid w:val="00EF040C"/>
    <w:rsid w:val="00EF30A1"/>
    <w:rsid w:val="00F046EB"/>
    <w:rsid w:val="00F215BD"/>
    <w:rsid w:val="00F23FF5"/>
    <w:rsid w:val="00F30A6E"/>
    <w:rsid w:val="00F31978"/>
    <w:rsid w:val="00F35025"/>
    <w:rsid w:val="00F412B1"/>
    <w:rsid w:val="00F4504C"/>
    <w:rsid w:val="00F54DBA"/>
    <w:rsid w:val="00F5535C"/>
    <w:rsid w:val="00F55699"/>
    <w:rsid w:val="00F572EC"/>
    <w:rsid w:val="00F61B62"/>
    <w:rsid w:val="00F62FC9"/>
    <w:rsid w:val="00F64856"/>
    <w:rsid w:val="00F648C9"/>
    <w:rsid w:val="00F67DFE"/>
    <w:rsid w:val="00F74FF0"/>
    <w:rsid w:val="00F84806"/>
    <w:rsid w:val="00F875AC"/>
    <w:rsid w:val="00F90A96"/>
    <w:rsid w:val="00F92A75"/>
    <w:rsid w:val="00F966E4"/>
    <w:rsid w:val="00FA00E5"/>
    <w:rsid w:val="00FA2187"/>
    <w:rsid w:val="00FA3A75"/>
    <w:rsid w:val="00FA5F23"/>
    <w:rsid w:val="00FA6A71"/>
    <w:rsid w:val="00FB1085"/>
    <w:rsid w:val="00FB11C4"/>
    <w:rsid w:val="00FB4530"/>
    <w:rsid w:val="00FB7E3C"/>
    <w:rsid w:val="00FC1A46"/>
    <w:rsid w:val="00FC1AD2"/>
    <w:rsid w:val="00FC20AD"/>
    <w:rsid w:val="00FC2703"/>
    <w:rsid w:val="00FC56F1"/>
    <w:rsid w:val="00FC5C65"/>
    <w:rsid w:val="00FC6619"/>
    <w:rsid w:val="00FC72EA"/>
    <w:rsid w:val="00FD287B"/>
    <w:rsid w:val="00FD5D18"/>
    <w:rsid w:val="00FD7D1B"/>
    <w:rsid w:val="00FE11B6"/>
    <w:rsid w:val="00FE53DF"/>
    <w:rsid w:val="00FE57AF"/>
    <w:rsid w:val="00FE674B"/>
    <w:rsid w:val="00FF0669"/>
    <w:rsid w:val="00FF2BE3"/>
    <w:rsid w:val="00FF346F"/>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1A7F5"/>
  <w15:docId w15:val="{958E504D-5F97-47FC-AC69-76660EE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0C7"/>
    <w:rPr>
      <w:rFonts w:ascii="Calibri" w:hAnsi="Calibri"/>
      <w:sz w:val="24"/>
    </w:rPr>
  </w:style>
  <w:style w:type="paragraph" w:styleId="Heading1">
    <w:name w:val="heading 1"/>
    <w:basedOn w:val="Normal"/>
    <w:next w:val="Normal"/>
    <w:qFormat/>
    <w:rsid w:val="00F215BD"/>
    <w:pPr>
      <w:keepNext/>
      <w:pageBreakBefore/>
      <w:pBdr>
        <w:bottom w:val="single" w:sz="8" w:space="1" w:color="auto"/>
      </w:pBdr>
      <w:tabs>
        <w:tab w:val="left" w:pos="2880"/>
      </w:tabs>
      <w:spacing w:before="480" w:after="120"/>
      <w:outlineLvl w:val="0"/>
    </w:pPr>
    <w:rPr>
      <w:b/>
      <w:kern w:val="28"/>
      <w:sz w:val="40"/>
    </w:rPr>
  </w:style>
  <w:style w:type="paragraph" w:styleId="Heading2">
    <w:name w:val="heading 2"/>
    <w:basedOn w:val="Normal"/>
    <w:next w:val="Normal"/>
    <w:link w:val="Heading2Char"/>
    <w:qFormat/>
    <w:rsid w:val="003B1A08"/>
    <w:pPr>
      <w:keepNext/>
      <w:widowControl w:val="0"/>
      <w:jc w:val="center"/>
      <w:outlineLvl w:val="1"/>
    </w:pPr>
    <w:rPr>
      <w:b/>
      <w:iCs/>
      <w:szCs w:val="16"/>
      <w:lang w:val="x-none"/>
    </w:rPr>
  </w:style>
  <w:style w:type="paragraph" w:styleId="Heading3">
    <w:name w:val="heading 3"/>
    <w:basedOn w:val="Normal"/>
    <w:next w:val="Normal"/>
    <w:link w:val="Heading3Char"/>
    <w:uiPriority w:val="9"/>
    <w:qFormat/>
    <w:rsid w:val="00EA1A9E"/>
    <w:pPr>
      <w:keepNext/>
      <w:keepLines/>
      <w:numPr>
        <w:numId w:val="4"/>
      </w:numPr>
      <w:spacing w:before="240" w:after="60"/>
      <w:outlineLvl w:val="2"/>
    </w:pPr>
    <w:rPr>
      <w:b/>
      <w:bCs/>
    </w:rPr>
  </w:style>
  <w:style w:type="paragraph" w:styleId="Heading4">
    <w:name w:val="heading 4"/>
    <w:basedOn w:val="Normal"/>
    <w:next w:val="Normal"/>
    <w:link w:val="Heading4Char"/>
    <w:qFormat/>
    <w:rsid w:val="002740B6"/>
    <w:pPr>
      <w:keepNext/>
      <w:pBdr>
        <w:right w:val="single" w:sz="4" w:space="4" w:color="auto"/>
      </w:pBdr>
      <w:ind w:left="743" w:hanging="709"/>
      <w:outlineLvl w:val="3"/>
    </w:pPr>
    <w:rPr>
      <w:i/>
      <w:i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40B6"/>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2740B6"/>
    <w:pPr>
      <w:tabs>
        <w:tab w:val="left" w:pos="2880"/>
      </w:tabs>
      <w:spacing w:before="120" w:after="60" w:line="240" w:lineRule="exact"/>
    </w:pPr>
    <w:rPr>
      <w:rFonts w:ascii="Arial" w:hAnsi="Arial"/>
      <w:sz w:val="18"/>
      <w:lang w:val="x-none"/>
    </w:rPr>
  </w:style>
  <w:style w:type="paragraph" w:customStyle="1" w:styleId="Billname">
    <w:name w:val="Billname"/>
    <w:basedOn w:val="Normal"/>
    <w:rsid w:val="002740B6"/>
    <w:pPr>
      <w:tabs>
        <w:tab w:val="left" w:pos="2400"/>
        <w:tab w:val="left" w:pos="2880"/>
      </w:tabs>
      <w:spacing w:before="1220" w:after="100"/>
    </w:pPr>
    <w:rPr>
      <w:rFonts w:ascii="Arial" w:hAnsi="Arial"/>
      <w:b/>
      <w:sz w:val="40"/>
    </w:rPr>
  </w:style>
  <w:style w:type="paragraph" w:customStyle="1" w:styleId="Amain">
    <w:name w:val="A main"/>
    <w:basedOn w:val="Normal"/>
    <w:rsid w:val="002740B6"/>
    <w:pPr>
      <w:tabs>
        <w:tab w:val="right" w:pos="500"/>
        <w:tab w:val="left" w:pos="700"/>
      </w:tabs>
      <w:spacing w:before="80" w:after="60"/>
      <w:ind w:left="700" w:hanging="700"/>
      <w:jc w:val="both"/>
      <w:outlineLvl w:val="5"/>
    </w:pPr>
  </w:style>
  <w:style w:type="paragraph" w:customStyle="1" w:styleId="N-line3">
    <w:name w:val="N-line3"/>
    <w:basedOn w:val="Normal"/>
    <w:next w:val="Normal"/>
    <w:rsid w:val="002740B6"/>
    <w:pPr>
      <w:pBdr>
        <w:bottom w:val="single" w:sz="12" w:space="1" w:color="auto"/>
      </w:pBdr>
      <w:jc w:val="both"/>
    </w:pPr>
  </w:style>
  <w:style w:type="paragraph" w:customStyle="1" w:styleId="madeunder">
    <w:name w:val="made under"/>
    <w:basedOn w:val="Normal"/>
    <w:rsid w:val="002740B6"/>
    <w:pPr>
      <w:spacing w:before="180" w:after="60"/>
      <w:jc w:val="both"/>
    </w:pPr>
  </w:style>
  <w:style w:type="paragraph" w:customStyle="1" w:styleId="CoverActName">
    <w:name w:val="CoverActName"/>
    <w:basedOn w:val="Normal"/>
    <w:rsid w:val="002740B6"/>
    <w:pPr>
      <w:tabs>
        <w:tab w:val="left" w:pos="2600"/>
      </w:tabs>
      <w:spacing w:before="200" w:after="60"/>
      <w:jc w:val="both"/>
    </w:pPr>
    <w:rPr>
      <w:rFonts w:ascii="Arial" w:hAnsi="Arial"/>
      <w:b/>
    </w:rPr>
  </w:style>
  <w:style w:type="paragraph" w:customStyle="1" w:styleId="06Copyright">
    <w:name w:val="06Copyright"/>
    <w:basedOn w:val="Normal"/>
    <w:rsid w:val="002740B6"/>
    <w:pPr>
      <w:tabs>
        <w:tab w:val="left" w:pos="2880"/>
      </w:tabs>
    </w:pPr>
  </w:style>
  <w:style w:type="paragraph" w:customStyle="1" w:styleId="Apara">
    <w:name w:val="A para"/>
    <w:basedOn w:val="Normal"/>
    <w:rsid w:val="002740B6"/>
    <w:pPr>
      <w:numPr>
        <w:ilvl w:val="6"/>
        <w:numId w:val="7"/>
      </w:numPr>
      <w:spacing w:before="80" w:after="60"/>
      <w:jc w:val="both"/>
      <w:outlineLvl w:val="6"/>
    </w:pPr>
  </w:style>
  <w:style w:type="paragraph" w:customStyle="1" w:styleId="Asubpara">
    <w:name w:val="A subpara"/>
    <w:basedOn w:val="Normal"/>
    <w:rsid w:val="002740B6"/>
    <w:pPr>
      <w:numPr>
        <w:ilvl w:val="7"/>
        <w:numId w:val="7"/>
      </w:numPr>
      <w:tabs>
        <w:tab w:val="clear" w:pos="5760"/>
      </w:tabs>
      <w:spacing w:before="80" w:after="60"/>
      <w:ind w:left="5400" w:hanging="360"/>
      <w:jc w:val="both"/>
      <w:outlineLvl w:val="7"/>
    </w:pPr>
  </w:style>
  <w:style w:type="paragraph" w:customStyle="1" w:styleId="Asubsubpara">
    <w:name w:val="A subsubpara"/>
    <w:basedOn w:val="Normal"/>
    <w:rsid w:val="002740B6"/>
    <w:pPr>
      <w:numPr>
        <w:ilvl w:val="8"/>
        <w:numId w:val="7"/>
      </w:numPr>
      <w:spacing w:before="80" w:after="60"/>
      <w:jc w:val="both"/>
      <w:outlineLvl w:val="8"/>
    </w:pPr>
  </w:style>
  <w:style w:type="paragraph" w:customStyle="1" w:styleId="AH5Sec">
    <w:name w:val="A H5 Sec"/>
    <w:basedOn w:val="Normal"/>
    <w:next w:val="Amain"/>
    <w:rsid w:val="002740B6"/>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2740B6"/>
    <w:pPr>
      <w:tabs>
        <w:tab w:val="left" w:pos="2880"/>
        <w:tab w:val="center" w:pos="4153"/>
        <w:tab w:val="right" w:pos="8306"/>
      </w:tabs>
    </w:pPr>
    <w:rPr>
      <w:lang w:val="x-none"/>
    </w:rPr>
  </w:style>
  <w:style w:type="paragraph" w:customStyle="1" w:styleId="ref">
    <w:name w:val="ref"/>
    <w:basedOn w:val="Normal"/>
    <w:next w:val="Normal"/>
    <w:rsid w:val="002740B6"/>
    <w:pPr>
      <w:spacing w:after="60"/>
      <w:jc w:val="both"/>
    </w:pPr>
    <w:rPr>
      <w:sz w:val="18"/>
    </w:rPr>
  </w:style>
  <w:style w:type="character" w:customStyle="1" w:styleId="CharDivText">
    <w:name w:val="CharDivText"/>
    <w:basedOn w:val="DefaultParagraphFont"/>
    <w:rsid w:val="002740B6"/>
  </w:style>
  <w:style w:type="paragraph" w:customStyle="1" w:styleId="CoverInForce">
    <w:name w:val="CoverInForce"/>
    <w:basedOn w:val="Normal"/>
    <w:rsid w:val="002740B6"/>
    <w:pPr>
      <w:tabs>
        <w:tab w:val="left" w:pos="2600"/>
      </w:tabs>
      <w:spacing w:before="200" w:after="60"/>
      <w:jc w:val="both"/>
    </w:pPr>
    <w:rPr>
      <w:rFonts w:ascii="Arial" w:hAnsi="Arial"/>
    </w:rPr>
  </w:style>
  <w:style w:type="paragraph" w:customStyle="1" w:styleId="AFHdg">
    <w:name w:val="AFHdg"/>
    <w:basedOn w:val="Normal"/>
    <w:rsid w:val="002740B6"/>
    <w:pPr>
      <w:tabs>
        <w:tab w:val="left" w:pos="2600"/>
      </w:tabs>
      <w:spacing w:before="80" w:after="60"/>
      <w:jc w:val="both"/>
    </w:pPr>
    <w:rPr>
      <w:rFonts w:ascii="Arial" w:hAnsi="Arial"/>
      <w:b/>
      <w:sz w:val="32"/>
    </w:rPr>
  </w:style>
  <w:style w:type="paragraph" w:customStyle="1" w:styleId="ApprFormHd">
    <w:name w:val="ApprFormHd"/>
    <w:basedOn w:val="Normal"/>
    <w:rsid w:val="002740B6"/>
    <w:pPr>
      <w:keepNext/>
      <w:tabs>
        <w:tab w:val="left" w:pos="2600"/>
      </w:tabs>
      <w:spacing w:before="320" w:after="60"/>
      <w:outlineLvl w:val="0"/>
    </w:pPr>
    <w:rPr>
      <w:rFonts w:ascii="Arial" w:hAnsi="Arial"/>
      <w:b/>
      <w:sz w:val="34"/>
    </w:rPr>
  </w:style>
  <w:style w:type="character" w:styleId="PageNumber">
    <w:name w:val="page number"/>
    <w:basedOn w:val="DefaultParagraphFont"/>
    <w:rsid w:val="002740B6"/>
  </w:style>
  <w:style w:type="paragraph" w:customStyle="1" w:styleId="Aparabullet">
    <w:name w:val="A para bullet"/>
    <w:basedOn w:val="Normal"/>
    <w:rsid w:val="002740B6"/>
    <w:pPr>
      <w:numPr>
        <w:numId w:val="2"/>
      </w:numPr>
    </w:pPr>
  </w:style>
  <w:style w:type="paragraph" w:styleId="TOC1">
    <w:name w:val="toc 1"/>
    <w:basedOn w:val="Normal"/>
    <w:next w:val="Normal"/>
    <w:autoRedefine/>
    <w:semiHidden/>
    <w:rsid w:val="002740B6"/>
  </w:style>
  <w:style w:type="paragraph" w:styleId="TOC2">
    <w:name w:val="toc 2"/>
    <w:basedOn w:val="Normal"/>
    <w:next w:val="Normal"/>
    <w:autoRedefine/>
    <w:semiHidden/>
    <w:rsid w:val="002740B6"/>
    <w:pPr>
      <w:ind w:left="240"/>
    </w:pPr>
  </w:style>
  <w:style w:type="paragraph" w:styleId="TOC3">
    <w:name w:val="toc 3"/>
    <w:basedOn w:val="Normal"/>
    <w:next w:val="Normal"/>
    <w:autoRedefine/>
    <w:semiHidden/>
    <w:rsid w:val="002740B6"/>
    <w:pPr>
      <w:ind w:left="480"/>
    </w:pPr>
  </w:style>
  <w:style w:type="paragraph" w:styleId="TOC4">
    <w:name w:val="toc 4"/>
    <w:basedOn w:val="Normal"/>
    <w:next w:val="Normal"/>
    <w:autoRedefine/>
    <w:semiHidden/>
    <w:rsid w:val="002740B6"/>
    <w:pPr>
      <w:ind w:left="720"/>
    </w:pPr>
  </w:style>
  <w:style w:type="paragraph" w:styleId="TOC5">
    <w:name w:val="toc 5"/>
    <w:basedOn w:val="Normal"/>
    <w:next w:val="Normal"/>
    <w:autoRedefine/>
    <w:semiHidden/>
    <w:rsid w:val="002740B6"/>
    <w:pPr>
      <w:ind w:left="960"/>
    </w:pPr>
  </w:style>
  <w:style w:type="paragraph" w:styleId="TOC6">
    <w:name w:val="toc 6"/>
    <w:basedOn w:val="Normal"/>
    <w:next w:val="Normal"/>
    <w:autoRedefine/>
    <w:semiHidden/>
    <w:rsid w:val="002740B6"/>
    <w:pPr>
      <w:ind w:left="1200"/>
    </w:pPr>
  </w:style>
  <w:style w:type="paragraph" w:styleId="TOC7">
    <w:name w:val="toc 7"/>
    <w:basedOn w:val="Normal"/>
    <w:next w:val="Normal"/>
    <w:autoRedefine/>
    <w:semiHidden/>
    <w:rsid w:val="002740B6"/>
    <w:pPr>
      <w:ind w:left="1440"/>
    </w:pPr>
  </w:style>
  <w:style w:type="paragraph" w:styleId="TOC8">
    <w:name w:val="toc 8"/>
    <w:basedOn w:val="Normal"/>
    <w:next w:val="Normal"/>
    <w:autoRedefine/>
    <w:semiHidden/>
    <w:rsid w:val="002740B6"/>
    <w:pPr>
      <w:ind w:left="1680"/>
    </w:pPr>
  </w:style>
  <w:style w:type="paragraph" w:styleId="TOC9">
    <w:name w:val="toc 9"/>
    <w:basedOn w:val="Normal"/>
    <w:next w:val="Normal"/>
    <w:autoRedefine/>
    <w:semiHidden/>
    <w:rsid w:val="002740B6"/>
    <w:pPr>
      <w:ind w:left="1920"/>
    </w:pPr>
  </w:style>
  <w:style w:type="character" w:styleId="Hyperlink">
    <w:name w:val="Hyperlink"/>
    <w:rsid w:val="002740B6"/>
    <w:rPr>
      <w:color w:val="0000FF"/>
      <w:u w:val="single"/>
    </w:rPr>
  </w:style>
  <w:style w:type="paragraph" w:styleId="BodyTextIndent">
    <w:name w:val="Body Text Indent"/>
    <w:basedOn w:val="Normal"/>
    <w:link w:val="BodyTextIndentChar"/>
    <w:rsid w:val="002740B6"/>
    <w:pPr>
      <w:spacing w:before="120" w:after="60"/>
      <w:ind w:left="709"/>
    </w:pPr>
    <w:rPr>
      <w:lang w:val="x-none"/>
    </w:rPr>
  </w:style>
  <w:style w:type="paragraph" w:customStyle="1" w:styleId="Minister">
    <w:name w:val="Minister"/>
    <w:basedOn w:val="Normal"/>
    <w:rsid w:val="002740B6"/>
    <w:pPr>
      <w:spacing w:before="880" w:after="60"/>
      <w:jc w:val="right"/>
    </w:pPr>
    <w:rPr>
      <w:caps/>
      <w:szCs w:val="24"/>
    </w:rPr>
  </w:style>
  <w:style w:type="paragraph" w:customStyle="1" w:styleId="DateLine">
    <w:name w:val="DateLine"/>
    <w:basedOn w:val="Normal"/>
    <w:rsid w:val="002740B6"/>
    <w:pPr>
      <w:tabs>
        <w:tab w:val="left" w:pos="4320"/>
      </w:tabs>
      <w:spacing w:before="80" w:after="60"/>
      <w:jc w:val="both"/>
    </w:pPr>
    <w:rPr>
      <w:szCs w:val="24"/>
    </w:rPr>
  </w:style>
  <w:style w:type="paragraph" w:customStyle="1" w:styleId="MinisterWord">
    <w:name w:val="MinisterWord"/>
    <w:basedOn w:val="Normal"/>
    <w:rsid w:val="002740B6"/>
    <w:pPr>
      <w:tabs>
        <w:tab w:val="left" w:pos="2880"/>
      </w:tabs>
      <w:jc w:val="right"/>
    </w:pPr>
    <w:rPr>
      <w:szCs w:val="24"/>
    </w:rPr>
  </w:style>
  <w:style w:type="character" w:styleId="FollowedHyperlink">
    <w:name w:val="FollowedHyperlink"/>
    <w:rsid w:val="002740B6"/>
    <w:rPr>
      <w:color w:val="800080"/>
      <w:u w:val="single"/>
    </w:rPr>
  </w:style>
  <w:style w:type="character" w:styleId="FootnoteReference">
    <w:name w:val="footnote reference"/>
    <w:uiPriority w:val="99"/>
    <w:semiHidden/>
    <w:rsid w:val="002740B6"/>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2740B6"/>
    <w:pPr>
      <w:spacing w:before="80" w:after="60"/>
      <w:jc w:val="both"/>
    </w:pPr>
    <w:rPr>
      <w:szCs w:val="24"/>
      <w:lang w:val="x-none"/>
    </w:rPr>
  </w:style>
  <w:style w:type="paragraph" w:customStyle="1" w:styleId="ShadedSchClause">
    <w:name w:val="Shaded Sch Clause"/>
    <w:basedOn w:val="Normal"/>
    <w:next w:val="Normal"/>
    <w:rsid w:val="002740B6"/>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2740B6"/>
  </w:style>
  <w:style w:type="paragraph" w:customStyle="1" w:styleId="Asubparabullet">
    <w:name w:val="A subpara bullet"/>
    <w:basedOn w:val="Normal"/>
    <w:rsid w:val="00C10C16"/>
    <w:pPr>
      <w:numPr>
        <w:numId w:val="3"/>
      </w:numPr>
    </w:pPr>
    <w:rPr>
      <w:szCs w:val="24"/>
    </w:rPr>
  </w:style>
  <w:style w:type="table" w:styleId="TableGrid">
    <w:name w:val="Table Grid"/>
    <w:basedOn w:val="TableNormal"/>
    <w:rsid w:val="005E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F0D48"/>
    <w:rPr>
      <w:rFonts w:ascii="Calibri" w:hAnsi="Calibri"/>
      <w:sz w:val="24"/>
      <w:lang w:eastAsia="en-US"/>
    </w:rPr>
  </w:style>
  <w:style w:type="paragraph" w:customStyle="1" w:styleId="ColorfulList-Accent11">
    <w:name w:val="Colorful List - Accent 11"/>
    <w:basedOn w:val="Normal"/>
    <w:uiPriority w:val="34"/>
    <w:qFormat/>
    <w:rsid w:val="00C23982"/>
    <w:pPr>
      <w:ind w:left="720"/>
    </w:pPr>
  </w:style>
  <w:style w:type="paragraph" w:styleId="BodyText3">
    <w:name w:val="Body Text 3"/>
    <w:basedOn w:val="Normal"/>
    <w:link w:val="BodyText3Char"/>
    <w:rsid w:val="004F77CB"/>
    <w:pPr>
      <w:spacing w:after="120"/>
    </w:pPr>
    <w:rPr>
      <w:sz w:val="16"/>
      <w:szCs w:val="16"/>
      <w:lang w:val="x-none"/>
    </w:rPr>
  </w:style>
  <w:style w:type="character" w:customStyle="1" w:styleId="BodyText3Char">
    <w:name w:val="Body Text 3 Char"/>
    <w:link w:val="BodyText3"/>
    <w:rsid w:val="004F77CB"/>
    <w:rPr>
      <w:rFonts w:ascii="Calibri" w:hAnsi="Calibri"/>
      <w:sz w:val="16"/>
      <w:szCs w:val="16"/>
      <w:lang w:eastAsia="en-US"/>
    </w:rPr>
  </w:style>
  <w:style w:type="paragraph" w:styleId="BodyTextIndent3">
    <w:name w:val="Body Text Indent 3"/>
    <w:basedOn w:val="Normal"/>
    <w:link w:val="BodyTextIndent3Char"/>
    <w:rsid w:val="004F77CB"/>
    <w:pPr>
      <w:spacing w:after="120"/>
      <w:ind w:left="283"/>
    </w:pPr>
    <w:rPr>
      <w:sz w:val="16"/>
      <w:szCs w:val="16"/>
      <w:lang w:val="x-none"/>
    </w:rPr>
  </w:style>
  <w:style w:type="character" w:customStyle="1" w:styleId="BodyTextIndent3Char">
    <w:name w:val="Body Text Indent 3 Char"/>
    <w:link w:val="BodyTextIndent3"/>
    <w:rsid w:val="004F77CB"/>
    <w:rPr>
      <w:rFonts w:ascii="Calibri" w:hAnsi="Calibri"/>
      <w:sz w:val="16"/>
      <w:szCs w:val="16"/>
      <w:lang w:eastAsia="en-US"/>
    </w:rPr>
  </w:style>
  <w:style w:type="paragraph" w:styleId="BodyText">
    <w:name w:val="Body Text"/>
    <w:basedOn w:val="Normal"/>
    <w:link w:val="BodyTextChar"/>
    <w:rsid w:val="004F77CB"/>
    <w:pPr>
      <w:spacing w:after="120"/>
    </w:pPr>
    <w:rPr>
      <w:lang w:val="x-none"/>
    </w:rPr>
  </w:style>
  <w:style w:type="character" w:customStyle="1" w:styleId="BodyTextChar">
    <w:name w:val="Body Text Char"/>
    <w:link w:val="BodyText"/>
    <w:rsid w:val="004F77CB"/>
    <w:rPr>
      <w:rFonts w:ascii="Calibri" w:hAnsi="Calibri"/>
      <w:sz w:val="24"/>
      <w:lang w:eastAsia="en-US"/>
    </w:rPr>
  </w:style>
  <w:style w:type="character" w:customStyle="1" w:styleId="FooterChar">
    <w:name w:val="Footer Char"/>
    <w:link w:val="Footer"/>
    <w:uiPriority w:val="99"/>
    <w:rsid w:val="004F77CB"/>
    <w:rPr>
      <w:rFonts w:ascii="Arial" w:hAnsi="Arial"/>
      <w:sz w:val="18"/>
      <w:lang w:eastAsia="en-US"/>
    </w:rPr>
  </w:style>
  <w:style w:type="character" w:customStyle="1" w:styleId="Heading2Char">
    <w:name w:val="Heading 2 Char"/>
    <w:link w:val="Heading2"/>
    <w:rsid w:val="00BB7044"/>
    <w:rPr>
      <w:rFonts w:ascii="Calibri" w:hAnsi="Calibri" w:cs="Arial"/>
      <w:b/>
      <w:iCs/>
      <w:sz w:val="24"/>
      <w:szCs w:val="16"/>
      <w:lang w:eastAsia="en-US"/>
    </w:rPr>
  </w:style>
  <w:style w:type="character" w:customStyle="1" w:styleId="Heading4Char">
    <w:name w:val="Heading 4 Char"/>
    <w:link w:val="Heading4"/>
    <w:rsid w:val="00C810A6"/>
    <w:rPr>
      <w:rFonts w:ascii="Calibri" w:hAnsi="Calibri"/>
      <w:i/>
      <w:iCs/>
      <w:sz w:val="22"/>
      <w:szCs w:val="22"/>
      <w:lang w:eastAsia="en-US"/>
    </w:rPr>
  </w:style>
  <w:style w:type="character" w:customStyle="1" w:styleId="BodyTextIndentChar">
    <w:name w:val="Body Text Indent Char"/>
    <w:link w:val="BodyTextIndent"/>
    <w:rsid w:val="00C810A6"/>
    <w:rPr>
      <w:rFonts w:ascii="Calibri" w:hAnsi="Calibri"/>
      <w:sz w:val="24"/>
      <w:lang w:eastAsia="en-US"/>
    </w:rPr>
  </w:style>
  <w:style w:type="paragraph" w:styleId="BalloonText">
    <w:name w:val="Balloon Text"/>
    <w:basedOn w:val="Normal"/>
    <w:link w:val="BalloonTextChar"/>
    <w:rsid w:val="00DD73BE"/>
    <w:rPr>
      <w:rFonts w:ascii="Tahoma" w:hAnsi="Tahoma"/>
      <w:sz w:val="16"/>
      <w:szCs w:val="16"/>
      <w:lang w:val="x-none"/>
    </w:rPr>
  </w:style>
  <w:style w:type="character" w:customStyle="1" w:styleId="BalloonTextChar">
    <w:name w:val="Balloon Text Char"/>
    <w:link w:val="BalloonText"/>
    <w:rsid w:val="00DD73BE"/>
    <w:rPr>
      <w:rFonts w:ascii="Tahoma" w:hAnsi="Tahoma" w:cs="Tahoma"/>
      <w:sz w:val="16"/>
      <w:szCs w:val="16"/>
      <w:lang w:eastAsia="en-US"/>
    </w:rPr>
  </w:style>
  <w:style w:type="character" w:styleId="CommentReference">
    <w:name w:val="annotation reference"/>
    <w:uiPriority w:val="99"/>
    <w:rsid w:val="009E4C67"/>
    <w:rPr>
      <w:sz w:val="18"/>
      <w:szCs w:val="18"/>
    </w:rPr>
  </w:style>
  <w:style w:type="paragraph" w:styleId="CommentText">
    <w:name w:val="annotation text"/>
    <w:basedOn w:val="Normal"/>
    <w:link w:val="CommentTextChar"/>
    <w:uiPriority w:val="99"/>
    <w:rsid w:val="009E4C67"/>
    <w:rPr>
      <w:szCs w:val="24"/>
      <w:lang w:val="x-none"/>
    </w:rPr>
  </w:style>
  <w:style w:type="character" w:customStyle="1" w:styleId="CommentTextChar">
    <w:name w:val="Comment Text Char"/>
    <w:link w:val="CommentText"/>
    <w:uiPriority w:val="99"/>
    <w:rsid w:val="009E4C67"/>
    <w:rPr>
      <w:rFonts w:ascii="Calibri" w:hAnsi="Calibri"/>
      <w:sz w:val="24"/>
      <w:szCs w:val="24"/>
      <w:lang w:eastAsia="en-US"/>
    </w:rPr>
  </w:style>
  <w:style w:type="paragraph" w:customStyle="1" w:styleId="ColorfulShading-Accent31">
    <w:name w:val="Colorful Shading - Accent 31"/>
    <w:basedOn w:val="Normal"/>
    <w:uiPriority w:val="34"/>
    <w:qFormat/>
    <w:rsid w:val="00DC6C6D"/>
    <w:pPr>
      <w:ind w:left="720"/>
      <w:contextualSpacing/>
    </w:pPr>
  </w:style>
  <w:style w:type="paragraph" w:styleId="BodyText2">
    <w:name w:val="Body Text 2"/>
    <w:basedOn w:val="Normal"/>
    <w:link w:val="BodyText2Char"/>
    <w:rsid w:val="00DC6C6D"/>
    <w:pPr>
      <w:spacing w:after="120" w:line="480" w:lineRule="auto"/>
    </w:pPr>
  </w:style>
  <w:style w:type="character" w:customStyle="1" w:styleId="BodyText2Char">
    <w:name w:val="Body Text 2 Char"/>
    <w:basedOn w:val="DefaultParagraphFont"/>
    <w:link w:val="BodyText2"/>
    <w:rsid w:val="00DC6C6D"/>
    <w:rPr>
      <w:rFonts w:ascii="Calibri" w:hAnsi="Calibri"/>
      <w:sz w:val="24"/>
      <w:lang w:eastAsia="en-US"/>
    </w:rPr>
  </w:style>
  <w:style w:type="paragraph" w:customStyle="1" w:styleId="Title20Left">
    <w:name w:val="Title 20 Left"/>
    <w:basedOn w:val="Title"/>
    <w:qFormat/>
    <w:rsid w:val="00DC6C6D"/>
    <w:pPr>
      <w:pBdr>
        <w:top w:val="none" w:sz="0" w:space="0" w:color="auto"/>
        <w:bottom w:val="none" w:sz="0" w:space="0" w:color="auto"/>
      </w:pBdr>
      <w:spacing w:after="60"/>
      <w:outlineLvl w:val="0"/>
    </w:pPr>
    <w:rPr>
      <w:rFonts w:ascii="Calibri" w:hAnsi="Calibri"/>
      <w:bCs/>
      <w:szCs w:val="32"/>
    </w:rPr>
  </w:style>
  <w:style w:type="character" w:customStyle="1" w:styleId="FootnoteTextChar">
    <w:name w:val="Footnote Text Char"/>
    <w:link w:val="FootnoteText"/>
    <w:uiPriority w:val="99"/>
    <w:semiHidden/>
    <w:rsid w:val="00DC6C6D"/>
    <w:rPr>
      <w:rFonts w:ascii="Calibri" w:hAnsi="Calibri"/>
      <w:sz w:val="24"/>
      <w:szCs w:val="24"/>
      <w:lang w:eastAsia="en-US"/>
    </w:rPr>
  </w:style>
  <w:style w:type="paragraph" w:styleId="ListParagraph">
    <w:name w:val="List Paragraph"/>
    <w:basedOn w:val="Normal"/>
    <w:uiPriority w:val="34"/>
    <w:qFormat/>
    <w:rsid w:val="00D364F2"/>
    <w:pPr>
      <w:spacing w:after="200" w:line="276" w:lineRule="auto"/>
      <w:ind w:left="720"/>
      <w:contextualSpacing/>
    </w:pPr>
    <w:rPr>
      <w:rFonts w:eastAsia="Calibri"/>
      <w:sz w:val="22"/>
      <w:szCs w:val="22"/>
    </w:rPr>
  </w:style>
  <w:style w:type="paragraph" w:styleId="CommentSubject">
    <w:name w:val="annotation subject"/>
    <w:basedOn w:val="CommentText"/>
    <w:next w:val="CommentText"/>
    <w:link w:val="CommentSubjectChar"/>
    <w:rsid w:val="00AD5324"/>
    <w:rPr>
      <w:b/>
      <w:bCs/>
      <w:sz w:val="20"/>
      <w:szCs w:val="20"/>
      <w:lang w:val="en-AU"/>
    </w:rPr>
  </w:style>
  <w:style w:type="character" w:customStyle="1" w:styleId="CommentSubjectChar">
    <w:name w:val="Comment Subject Char"/>
    <w:basedOn w:val="CommentTextChar"/>
    <w:link w:val="CommentSubject"/>
    <w:rsid w:val="00AD5324"/>
    <w:rPr>
      <w:rFonts w:ascii="Calibri" w:hAnsi="Calibri"/>
      <w:b/>
      <w:bCs/>
      <w:sz w:val="24"/>
      <w:szCs w:val="24"/>
      <w:lang w:eastAsia="en-US"/>
    </w:rPr>
  </w:style>
  <w:style w:type="paragraph" w:customStyle="1" w:styleId="LightGrid-Accent31">
    <w:name w:val="Light Grid - Accent 31"/>
    <w:basedOn w:val="Normal"/>
    <w:uiPriority w:val="34"/>
    <w:qFormat/>
    <w:rsid w:val="00204A61"/>
    <w:pPr>
      <w:ind w:left="720"/>
      <w:contextualSpacing/>
    </w:pPr>
  </w:style>
  <w:style w:type="character" w:styleId="UnresolvedMention">
    <w:name w:val="Unresolved Mention"/>
    <w:basedOn w:val="DefaultParagraphFont"/>
    <w:uiPriority w:val="99"/>
    <w:semiHidden/>
    <w:unhideWhenUsed/>
    <w:rsid w:val="00263E02"/>
    <w:rPr>
      <w:color w:val="605E5C"/>
      <w:shd w:val="clear" w:color="auto" w:fill="E1DFDD"/>
    </w:rPr>
  </w:style>
  <w:style w:type="paragraph" w:styleId="Revision">
    <w:name w:val="Revision"/>
    <w:hidden/>
    <w:uiPriority w:val="99"/>
    <w:semiHidden/>
    <w:rsid w:val="00181BC6"/>
    <w:rPr>
      <w:rFonts w:ascii="Calibri" w:hAnsi="Calibri"/>
      <w:sz w:val="24"/>
    </w:rPr>
  </w:style>
  <w:style w:type="paragraph" w:customStyle="1" w:styleId="m4332841467621231132xmsonormal">
    <w:name w:val="m_4332841467621231132xmsonormal"/>
    <w:basedOn w:val="Normal"/>
    <w:rsid w:val="00CA7769"/>
    <w:pPr>
      <w:spacing w:before="100" w:beforeAutospacing="1" w:after="100" w:afterAutospacing="1"/>
    </w:pPr>
    <w:rPr>
      <w:rFonts w:eastAsiaTheme="minorHAnsi" w:cs="Calibri"/>
      <w:sz w:val="22"/>
      <w:szCs w:val="22"/>
      <w:lang w:eastAsia="en-AU"/>
    </w:rPr>
  </w:style>
  <w:style w:type="character" w:customStyle="1" w:styleId="Heading3Char">
    <w:name w:val="Heading 3 Char"/>
    <w:link w:val="Heading3"/>
    <w:uiPriority w:val="9"/>
    <w:rsid w:val="001C7C9C"/>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86428">
      <w:bodyDiv w:val="1"/>
      <w:marLeft w:val="0"/>
      <w:marRight w:val="0"/>
      <w:marTop w:val="0"/>
      <w:marBottom w:val="0"/>
      <w:divBdr>
        <w:top w:val="none" w:sz="0" w:space="0" w:color="auto"/>
        <w:left w:val="none" w:sz="0" w:space="0" w:color="auto"/>
        <w:bottom w:val="none" w:sz="0" w:space="0" w:color="auto"/>
        <w:right w:val="none" w:sz="0" w:space="0" w:color="auto"/>
      </w:divBdr>
    </w:div>
    <w:div w:id="1456607620">
      <w:bodyDiv w:val="1"/>
      <w:marLeft w:val="0"/>
      <w:marRight w:val="0"/>
      <w:marTop w:val="0"/>
      <w:marBottom w:val="0"/>
      <w:divBdr>
        <w:top w:val="none" w:sz="0" w:space="0" w:color="auto"/>
        <w:left w:val="none" w:sz="0" w:space="0" w:color="auto"/>
        <w:bottom w:val="none" w:sz="0" w:space="0" w:color="auto"/>
        <w:right w:val="none" w:sz="0" w:space="0" w:color="auto"/>
      </w:divBdr>
    </w:div>
    <w:div w:id="186825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economy/price-indexes-and-inflation/consumer-price-index-australia/latest-release" TargetMode="External"/><Relationship Id="rId2" Type="http://schemas.openxmlformats.org/officeDocument/2006/relationships/hyperlink" Target="https://www.treasury.act.gov.au/__data/assets/pdf_file/0009/399978/CPI.pdf/_recache" TargetMode="External"/><Relationship Id="rId1" Type="http://schemas.openxmlformats.org/officeDocument/2006/relationships/hyperlink" Target="https://www.abs.gov.au/statistics/economy/price-indexes-and-inflation/consumer-price-index-australia/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346F7D77-BCBF-4C62-8352-2E3487829C23}">
  <ds:schemaRefs>
    <ds:schemaRef ds:uri="http://schemas.openxmlformats.org/officeDocument/2006/bibliography"/>
  </ds:schemaRefs>
</ds:datastoreItem>
</file>

<file path=customXml/itemProps2.xml><?xml version="1.0" encoding="utf-8"?>
<ds:datastoreItem xmlns:ds="http://schemas.openxmlformats.org/officeDocument/2006/customXml" ds:itemID="{3759C536-231B-4404-B645-5BF9174FE5F2}"/>
</file>

<file path=docProps/app.xml><?xml version="1.0" encoding="utf-8"?>
<Properties xmlns="http://schemas.openxmlformats.org/officeDocument/2006/extended-properties" xmlns:vt="http://schemas.openxmlformats.org/officeDocument/2006/docPropsVTypes">
  <Template>Normal</Template>
  <TotalTime>330</TotalTime>
  <Pages>7</Pages>
  <Words>1941</Words>
  <Characters>10668</Characters>
  <Application>Microsoft Office Word</Application>
  <DocSecurity>0</DocSecurity>
  <Lines>302</Lines>
  <Paragraphs>161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12494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Remuneration</dc:subject>
  <dc:creator>Secretary, ACT Remuneration Tribunal</dc:creator>
  <cp:lastModifiedBy>Hopkins, Lela</cp:lastModifiedBy>
  <cp:revision>36</cp:revision>
  <cp:lastPrinted>2025-04-01T01:33:00Z</cp:lastPrinted>
  <dcterms:created xsi:type="dcterms:W3CDTF">2023-06-01T09:40:00Z</dcterms:created>
  <dcterms:modified xsi:type="dcterms:W3CDTF">2025-04-01T01:33:00Z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Chief Minister and Treasury Directorate</vt:lpwstr>
  </property>
  <property fmtid="{D5CDD505-2E9C-101B-9397-08002B2CF9AE}" pid="3" name="Function">
    <vt:lpwstr>Remuneration</vt:lpwstr>
  </property>
  <property fmtid="{D5CDD505-2E9C-101B-9397-08002B2CF9AE}" pid="4" name="Description">
    <vt:lpwstr>Dtermination outlining the remuneration to Members of the ACT Legislative Assembly  </vt:lpwstr>
  </property>
  <property fmtid="{D5CDD505-2E9C-101B-9397-08002B2CF9AE}" pid="5" name="docIndexRef">
    <vt:lpwstr>9484cff3-27d9-4bc7-945b-d0aa7cfc2a7e</vt:lpwstr>
  </property>
  <property fmtid="{D5CDD505-2E9C-101B-9397-08002B2CF9AE}" pid="6" name="bjSaver">
    <vt:lpwstr>Dl6ApRSHYVgxX8T8bEan8VIA9SRCGo1U</vt:lpwstr>
  </property>
  <property fmtid="{D5CDD505-2E9C-101B-9397-08002B2CF9AE}" pid="7"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8" name="bjDocumentLabelXML-0">
    <vt:lpwstr>nternal/label"&gt;&lt;element uid="a68a5297-83bb-4ba8-a7cd-4b62d6981a77" value="" /&gt;&lt;/sisl&gt;</vt:lpwstr>
  </property>
  <property fmtid="{D5CDD505-2E9C-101B-9397-08002B2CF9AE}" pid="9" name="bjDocumentSecurityLabel">
    <vt:lpwstr>UNCLASSIFIED - NO MARKING</vt:lpwstr>
  </property>
  <property fmtid="{D5CDD505-2E9C-101B-9397-08002B2CF9AE}" pid="10" name="bjDocumentLabelFieldCode">
    <vt:lpwstr>UNCLASSIFIED - NO MARKING</vt:lpwstr>
  </property>
  <property fmtid="{D5CDD505-2E9C-101B-9397-08002B2CF9AE}" pid="11" name="bjDocumentLabelFieldCodeHeaderFooter">
    <vt:lpwstr>UNCLASSIFIED - NO MARKING</vt:lpwstr>
  </property>
  <property fmtid="{D5CDD505-2E9C-101B-9397-08002B2CF9AE}" pid="12" name="MSIP_Label_69af8531-eb46-4968-8cb3-105d2f5ea87e_Enabled">
    <vt:lpwstr>true</vt:lpwstr>
  </property>
  <property fmtid="{D5CDD505-2E9C-101B-9397-08002B2CF9AE}" pid="13" name="MSIP_Label_69af8531-eb46-4968-8cb3-105d2f5ea87e_SetDate">
    <vt:lpwstr>2024-04-18T04:38:11Z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951ba52f-2d83-46f2-b6a7-965cce966a74</vt:lpwstr>
  </property>
  <property fmtid="{D5CDD505-2E9C-101B-9397-08002B2CF9AE}" pid="18" name="MSIP_Label_69af8531-eb46-4968-8cb3-105d2f5ea87e_ContentBits">
    <vt:lpwstr>0</vt:lpwstr>
  </property>
</Properties>
</file>